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48F3A" w14:textId="694E6E7E" w:rsidR="00734F98" w:rsidRPr="00E25FEE" w:rsidRDefault="00734F98" w:rsidP="00356927">
      <w:pPr>
        <w:jc w:val="center"/>
        <w:rPr>
          <w:rFonts w:ascii="Cambria" w:eastAsia="Calibri" w:hAnsi="Cambria" w:cs="Arial"/>
          <w:b/>
          <w:sz w:val="22"/>
          <w:szCs w:val="22"/>
          <w:lang w:eastAsia="en-US"/>
        </w:rPr>
      </w:pPr>
      <w:r w:rsidRPr="00E25FEE">
        <w:rPr>
          <w:rFonts w:ascii="Cambria" w:eastAsia="Calibri" w:hAnsi="Cambria" w:cs="Arial"/>
          <w:b/>
          <w:sz w:val="22"/>
          <w:szCs w:val="22"/>
          <w:lang w:eastAsia="en-US"/>
        </w:rPr>
        <w:t>Decreto n° 2.</w:t>
      </w:r>
      <w:r w:rsidR="000B114C">
        <w:rPr>
          <w:rFonts w:ascii="Cambria" w:eastAsia="Calibri" w:hAnsi="Cambria" w:cs="Arial"/>
          <w:b/>
          <w:sz w:val="22"/>
          <w:szCs w:val="22"/>
          <w:lang w:eastAsia="en-US"/>
        </w:rPr>
        <w:t>319</w:t>
      </w:r>
      <w:r w:rsidRPr="00E25FEE">
        <w:rPr>
          <w:rFonts w:ascii="Cambria" w:eastAsia="Calibri" w:hAnsi="Cambria" w:cs="Arial"/>
          <w:b/>
          <w:sz w:val="22"/>
          <w:szCs w:val="22"/>
          <w:lang w:eastAsia="en-US"/>
        </w:rPr>
        <w:t xml:space="preserve">, de </w:t>
      </w:r>
      <w:r w:rsidR="000B114C">
        <w:rPr>
          <w:rFonts w:ascii="Cambria" w:eastAsia="Calibri" w:hAnsi="Cambria" w:cs="Arial"/>
          <w:b/>
          <w:sz w:val="22"/>
          <w:szCs w:val="22"/>
          <w:lang w:eastAsia="en-US"/>
        </w:rPr>
        <w:t>14</w:t>
      </w:r>
      <w:r w:rsidRPr="00E25FEE">
        <w:rPr>
          <w:rFonts w:ascii="Cambria" w:eastAsia="Calibri" w:hAnsi="Cambria" w:cs="Arial"/>
          <w:b/>
          <w:sz w:val="22"/>
          <w:szCs w:val="22"/>
          <w:lang w:eastAsia="en-US"/>
        </w:rPr>
        <w:t xml:space="preserve"> de </w:t>
      </w:r>
      <w:r w:rsidR="000B114C">
        <w:rPr>
          <w:rFonts w:ascii="Cambria" w:eastAsia="Calibri" w:hAnsi="Cambria" w:cs="Arial"/>
          <w:b/>
          <w:sz w:val="22"/>
          <w:szCs w:val="22"/>
          <w:lang w:eastAsia="en-US"/>
        </w:rPr>
        <w:t>novembro</w:t>
      </w:r>
      <w:r w:rsidRPr="00E25FEE">
        <w:rPr>
          <w:rFonts w:ascii="Cambria" w:eastAsia="Calibri" w:hAnsi="Cambria" w:cs="Arial"/>
          <w:b/>
          <w:sz w:val="22"/>
          <w:szCs w:val="22"/>
          <w:lang w:eastAsia="en-US"/>
        </w:rPr>
        <w:t xml:space="preserve"> de 2025.</w:t>
      </w:r>
    </w:p>
    <w:p w14:paraId="143771C6" w14:textId="77777777" w:rsidR="00734F98" w:rsidRPr="00E25FEE" w:rsidRDefault="00734F98" w:rsidP="00356927">
      <w:pPr>
        <w:jc w:val="center"/>
        <w:rPr>
          <w:rFonts w:ascii="Cambria" w:eastAsia="Calibri" w:hAnsi="Cambria" w:cs="Arial"/>
          <w:b/>
          <w:sz w:val="22"/>
          <w:szCs w:val="22"/>
          <w:lang w:eastAsia="en-US"/>
        </w:rPr>
      </w:pPr>
    </w:p>
    <w:p w14:paraId="2E147A45" w14:textId="77777777" w:rsidR="00734F98" w:rsidRPr="00E25FEE" w:rsidRDefault="00734F98" w:rsidP="00356927">
      <w:pPr>
        <w:ind w:left="3986"/>
        <w:jc w:val="both"/>
        <w:rPr>
          <w:rFonts w:ascii="Cambria" w:hAnsi="Cambria" w:cs="Arial"/>
          <w:b/>
          <w:bCs/>
          <w:iCs/>
          <w:sz w:val="22"/>
          <w:szCs w:val="22"/>
        </w:rPr>
      </w:pPr>
      <w:r w:rsidRPr="00E25FEE">
        <w:rPr>
          <w:rFonts w:ascii="Cambria" w:hAnsi="Cambria" w:cs="Arial"/>
          <w:b/>
          <w:bCs/>
          <w:iCs/>
          <w:sz w:val="22"/>
          <w:szCs w:val="22"/>
        </w:rPr>
        <w:t>Dispõe sobre os procedimentos a serem observados pelos órgãos e entidades da Administração Pública Municipal com vistas ao encerramento do exercício financeiro de 2025 e da outras providencias.</w:t>
      </w:r>
    </w:p>
    <w:p w14:paraId="62A36B87" w14:textId="77777777" w:rsidR="00734F98" w:rsidRPr="00E25FEE" w:rsidRDefault="00734F98" w:rsidP="00356927">
      <w:pPr>
        <w:ind w:left="3986"/>
        <w:jc w:val="both"/>
        <w:rPr>
          <w:rFonts w:ascii="Cambria" w:hAnsi="Cambria" w:cs="Arial"/>
          <w:sz w:val="22"/>
          <w:szCs w:val="22"/>
        </w:rPr>
      </w:pPr>
    </w:p>
    <w:p w14:paraId="3260F84E" w14:textId="77777777" w:rsidR="00734F98" w:rsidRPr="00E25FEE" w:rsidRDefault="00734F98" w:rsidP="00356927">
      <w:pPr>
        <w:ind w:firstLine="1423"/>
        <w:jc w:val="both"/>
        <w:rPr>
          <w:rFonts w:ascii="Cambria" w:hAnsi="Cambria" w:cs="Calibri"/>
          <w:sz w:val="22"/>
          <w:szCs w:val="22"/>
        </w:rPr>
      </w:pPr>
      <w:r w:rsidRPr="00E25FEE">
        <w:rPr>
          <w:rFonts w:ascii="Cambria" w:hAnsi="Cambria" w:cs="Calibri"/>
          <w:sz w:val="22"/>
          <w:szCs w:val="22"/>
        </w:rPr>
        <w:t>O Prefeito do Município de Juara, Estado de Mato Grosso, no uso das atribuições legais que são conferidas pela Lei Orgânica do Município, e</w:t>
      </w:r>
    </w:p>
    <w:p w14:paraId="4D228F25" w14:textId="77777777" w:rsidR="00734F98" w:rsidRPr="00E25FEE" w:rsidRDefault="00734F98" w:rsidP="00356927">
      <w:pPr>
        <w:ind w:firstLine="1423"/>
        <w:jc w:val="both"/>
        <w:rPr>
          <w:rFonts w:ascii="Cambria" w:hAnsi="Cambria" w:cs="Calibri"/>
          <w:sz w:val="22"/>
          <w:szCs w:val="22"/>
        </w:rPr>
      </w:pPr>
    </w:p>
    <w:p w14:paraId="41DA4ADE" w14:textId="4D4A43A5" w:rsidR="00734F98" w:rsidRPr="00E25FEE" w:rsidRDefault="00734F98" w:rsidP="00356927">
      <w:pPr>
        <w:suppressAutoHyphens/>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C</w:t>
      </w:r>
      <w:r w:rsidR="00E25FEE" w:rsidRPr="00E25FEE">
        <w:rPr>
          <w:rFonts w:ascii="Cambria" w:eastAsia="Calibri" w:hAnsi="Cambria" w:cs="Arial"/>
          <w:sz w:val="22"/>
          <w:szCs w:val="22"/>
          <w:lang w:eastAsia="en-US"/>
        </w:rPr>
        <w:t>onsiderando</w:t>
      </w:r>
      <w:r w:rsidRPr="00E25FEE">
        <w:rPr>
          <w:rFonts w:ascii="Cambria" w:eastAsia="Calibri" w:hAnsi="Cambria" w:cs="Arial"/>
          <w:sz w:val="22"/>
          <w:szCs w:val="22"/>
          <w:lang w:eastAsia="en-US"/>
        </w:rPr>
        <w:t xml:space="preserve"> as disposições da Lei Complementar Federal nº 101, de 04 de maio de 2000, que estabelece normas de finanças voltadas para responsabilidade fiscal; </w:t>
      </w:r>
    </w:p>
    <w:p w14:paraId="6E770AFA" w14:textId="77777777" w:rsidR="00734F98" w:rsidRPr="00E25FEE" w:rsidRDefault="00734F98" w:rsidP="00356927">
      <w:pPr>
        <w:suppressAutoHyphens/>
        <w:ind w:firstLine="1418"/>
        <w:jc w:val="both"/>
        <w:rPr>
          <w:rFonts w:ascii="Cambria" w:eastAsia="Calibri" w:hAnsi="Cambria" w:cs="Arial"/>
          <w:sz w:val="22"/>
          <w:szCs w:val="22"/>
          <w:lang w:eastAsia="en-US"/>
        </w:rPr>
      </w:pPr>
    </w:p>
    <w:p w14:paraId="67ECFAF9" w14:textId="7A035E3A" w:rsidR="00734F98" w:rsidRPr="00E25FEE" w:rsidRDefault="00734F98" w:rsidP="00356927">
      <w:pPr>
        <w:suppressAutoHyphens/>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C</w:t>
      </w:r>
      <w:r w:rsidR="00E25FEE" w:rsidRPr="00E25FEE">
        <w:rPr>
          <w:rFonts w:ascii="Cambria" w:eastAsia="Calibri" w:hAnsi="Cambria" w:cs="Arial"/>
          <w:sz w:val="22"/>
          <w:szCs w:val="22"/>
          <w:lang w:eastAsia="en-US"/>
        </w:rPr>
        <w:t>onsiderando</w:t>
      </w:r>
      <w:r w:rsidRPr="00E25FEE">
        <w:rPr>
          <w:rFonts w:ascii="Cambria" w:eastAsia="Calibri" w:hAnsi="Cambria" w:cs="Arial"/>
          <w:sz w:val="22"/>
          <w:szCs w:val="22"/>
          <w:lang w:eastAsia="en-US"/>
        </w:rPr>
        <w:t xml:space="preserve"> as disposições da Lei Federal nº 4.320, de 17 de março de 1964, que dispõe sobre normas gerais de Direito Financeiro para elaboração e controle dos orçamentos e balanços da União, dos Estados, dos Municípios e do Distrito Federal;</w:t>
      </w:r>
    </w:p>
    <w:p w14:paraId="096520DD" w14:textId="77777777" w:rsidR="00734F98" w:rsidRPr="00E25FEE" w:rsidRDefault="00734F98" w:rsidP="00356927">
      <w:pPr>
        <w:suppressAutoHyphens/>
        <w:ind w:firstLine="1418"/>
        <w:jc w:val="both"/>
        <w:rPr>
          <w:rFonts w:ascii="Cambria" w:eastAsia="Calibri" w:hAnsi="Cambria" w:cs="Arial"/>
          <w:sz w:val="22"/>
          <w:szCs w:val="22"/>
          <w:lang w:eastAsia="en-US"/>
        </w:rPr>
      </w:pPr>
    </w:p>
    <w:p w14:paraId="07AA822D" w14:textId="6A77159D" w:rsidR="00734F98" w:rsidRPr="00E25FEE" w:rsidRDefault="00734F98" w:rsidP="00356927">
      <w:pPr>
        <w:suppressAutoHyphens/>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C</w:t>
      </w:r>
      <w:r w:rsidR="00E25FEE" w:rsidRPr="00E25FEE">
        <w:rPr>
          <w:rFonts w:ascii="Cambria" w:eastAsia="Calibri" w:hAnsi="Cambria" w:cs="Arial"/>
          <w:sz w:val="22"/>
          <w:szCs w:val="22"/>
          <w:lang w:eastAsia="en-US"/>
        </w:rPr>
        <w:t>onsiderando</w:t>
      </w:r>
      <w:r w:rsidRPr="00E25FEE">
        <w:rPr>
          <w:rFonts w:ascii="Cambria" w:eastAsia="Calibri" w:hAnsi="Cambria" w:cs="Arial"/>
          <w:sz w:val="22"/>
          <w:szCs w:val="22"/>
          <w:lang w:eastAsia="en-US"/>
        </w:rPr>
        <w:t xml:space="preserve"> a necessidade de normatizar os procedimentos e estabelecer um cronograma de atividades e ações necessárias para o regular encerramento do exercício financeiro, com vistas ao atendimento da legislação vigente;</w:t>
      </w:r>
    </w:p>
    <w:p w14:paraId="33509B31" w14:textId="77777777" w:rsidR="00734F98" w:rsidRPr="00E25FEE" w:rsidRDefault="00734F98" w:rsidP="00356927">
      <w:pPr>
        <w:suppressAutoHyphens/>
        <w:ind w:firstLine="1418"/>
        <w:jc w:val="both"/>
        <w:rPr>
          <w:rFonts w:ascii="Cambria" w:eastAsia="Calibri" w:hAnsi="Cambria" w:cs="Arial"/>
          <w:sz w:val="22"/>
          <w:szCs w:val="22"/>
          <w:lang w:eastAsia="en-US"/>
        </w:rPr>
      </w:pPr>
    </w:p>
    <w:p w14:paraId="365E6C09" w14:textId="47A606C7" w:rsidR="00734F98" w:rsidRPr="00E25FEE" w:rsidRDefault="00734F98" w:rsidP="00356927">
      <w:pPr>
        <w:suppressAutoHyphens/>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C</w:t>
      </w:r>
      <w:r w:rsidR="00E25FEE" w:rsidRPr="00E25FEE">
        <w:rPr>
          <w:rFonts w:ascii="Cambria" w:eastAsia="Calibri" w:hAnsi="Cambria" w:cs="Arial"/>
          <w:sz w:val="22"/>
          <w:szCs w:val="22"/>
          <w:lang w:eastAsia="en-US"/>
        </w:rPr>
        <w:t>onsiderando</w:t>
      </w:r>
      <w:r w:rsidRPr="00E25FEE">
        <w:rPr>
          <w:rFonts w:ascii="Cambria" w:eastAsia="Calibri" w:hAnsi="Cambria" w:cs="Arial"/>
          <w:sz w:val="22"/>
          <w:szCs w:val="22"/>
          <w:lang w:eastAsia="en-US"/>
        </w:rPr>
        <w:t xml:space="preserve"> a elaboração do balanço anual em atendimento às exigências contidas nas normas contábeis, em especial no MCASP – Manual Contabilidade Aplicada ao Setor Público, a necessidade de estabelecer prazos para procedimentos de pagamento de despesas e inscrição de restos a pagar e outros procedimentos contábeis:</w:t>
      </w:r>
    </w:p>
    <w:p w14:paraId="5F6368D0" w14:textId="77777777" w:rsidR="00734F98" w:rsidRPr="00E25FEE" w:rsidRDefault="00734F98" w:rsidP="00356927">
      <w:pPr>
        <w:suppressAutoHyphens/>
        <w:ind w:firstLine="1418"/>
        <w:jc w:val="both"/>
        <w:rPr>
          <w:rFonts w:ascii="Cambria" w:eastAsia="Calibri" w:hAnsi="Cambria" w:cs="Arial"/>
          <w:sz w:val="22"/>
          <w:szCs w:val="22"/>
          <w:lang w:eastAsia="en-US"/>
        </w:rPr>
      </w:pPr>
    </w:p>
    <w:p w14:paraId="03B8E1B6" w14:textId="2099E465" w:rsidR="00734F98" w:rsidRPr="00E25FEE" w:rsidRDefault="00734F98" w:rsidP="00356927">
      <w:pPr>
        <w:suppressAutoHyphens/>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C</w:t>
      </w:r>
      <w:r w:rsidR="00E25FEE" w:rsidRPr="00E25FEE">
        <w:rPr>
          <w:rFonts w:ascii="Cambria" w:eastAsia="Calibri" w:hAnsi="Cambria" w:cs="Arial"/>
          <w:sz w:val="22"/>
          <w:szCs w:val="22"/>
          <w:lang w:eastAsia="en-US"/>
        </w:rPr>
        <w:t xml:space="preserve">onsiderando </w:t>
      </w:r>
      <w:r w:rsidRPr="00E25FEE">
        <w:rPr>
          <w:rFonts w:ascii="Cambria" w:eastAsia="Calibri" w:hAnsi="Cambria" w:cs="Arial"/>
          <w:sz w:val="22"/>
          <w:szCs w:val="22"/>
          <w:lang w:eastAsia="en-US"/>
        </w:rPr>
        <w:t>os prazos previstos no decreto federal nº 10.540</w:t>
      </w:r>
      <w:r w:rsidR="00E25FEE">
        <w:rPr>
          <w:rFonts w:ascii="Cambria" w:eastAsia="Calibri" w:hAnsi="Cambria" w:cs="Arial"/>
          <w:sz w:val="22"/>
          <w:szCs w:val="22"/>
          <w:lang w:eastAsia="en-US"/>
        </w:rPr>
        <w:t xml:space="preserve"> de 05 de novembro de 2020, que, </w:t>
      </w:r>
      <w:proofErr w:type="gramStart"/>
      <w:r w:rsidRPr="00E25FEE">
        <w:rPr>
          <w:rFonts w:ascii="Cambria" w:eastAsia="Calibri" w:hAnsi="Cambria" w:cs="Arial"/>
          <w:sz w:val="22"/>
          <w:szCs w:val="22"/>
          <w:lang w:eastAsia="en-US"/>
        </w:rPr>
        <w:t>Dispõe</w:t>
      </w:r>
      <w:proofErr w:type="gramEnd"/>
      <w:r w:rsidRPr="00E25FEE">
        <w:rPr>
          <w:rFonts w:ascii="Cambria" w:eastAsia="Calibri" w:hAnsi="Cambria" w:cs="Arial"/>
          <w:sz w:val="22"/>
          <w:szCs w:val="22"/>
          <w:lang w:eastAsia="en-US"/>
        </w:rPr>
        <w:t xml:space="preserve"> sobre o padrão mínimo de qualidade do Sistema Único e Integrado de Execução Orçamentária, Administração Financeira e Controle.</w:t>
      </w:r>
    </w:p>
    <w:p w14:paraId="66B7B70A" w14:textId="77777777" w:rsidR="00734F98" w:rsidRPr="00E25FEE" w:rsidRDefault="00734F98" w:rsidP="00356927">
      <w:pPr>
        <w:suppressAutoHyphens/>
        <w:ind w:firstLine="1418"/>
        <w:jc w:val="both"/>
        <w:rPr>
          <w:rFonts w:ascii="Cambria" w:eastAsia="Calibri" w:hAnsi="Cambria" w:cs="Arial"/>
          <w:b/>
          <w:i/>
          <w:color w:val="000000"/>
          <w:sz w:val="22"/>
          <w:szCs w:val="22"/>
          <w:u w:val="single"/>
          <w:lang w:eastAsia="en-US"/>
        </w:rPr>
      </w:pPr>
    </w:p>
    <w:p w14:paraId="30F5F61E" w14:textId="77777777" w:rsidR="00734F98" w:rsidRPr="00E25FEE" w:rsidRDefault="00734F98" w:rsidP="00356927">
      <w:pPr>
        <w:ind w:firstLine="1418"/>
        <w:rPr>
          <w:rFonts w:ascii="Cambria" w:eastAsia="Calibri" w:hAnsi="Cambria" w:cs="Arial"/>
          <w:sz w:val="22"/>
          <w:szCs w:val="22"/>
          <w:lang w:eastAsia="en-US"/>
        </w:rPr>
      </w:pPr>
      <w:r w:rsidRPr="00E25FEE">
        <w:rPr>
          <w:rFonts w:ascii="Cambria" w:eastAsia="Calibri" w:hAnsi="Cambria" w:cs="Arial"/>
          <w:sz w:val="22"/>
          <w:szCs w:val="22"/>
          <w:lang w:eastAsia="en-US"/>
        </w:rPr>
        <w:t>DECRETA:</w:t>
      </w:r>
    </w:p>
    <w:p w14:paraId="66EF9D8F" w14:textId="77777777" w:rsidR="00734F98" w:rsidRPr="00E25FEE" w:rsidRDefault="00734F98" w:rsidP="00356927">
      <w:pPr>
        <w:jc w:val="both"/>
        <w:rPr>
          <w:rFonts w:ascii="Cambria" w:eastAsia="Calibri" w:hAnsi="Cambria" w:cs="Arial"/>
          <w:b/>
          <w:sz w:val="22"/>
          <w:szCs w:val="22"/>
          <w:u w:val="single"/>
          <w:lang w:eastAsia="en-US"/>
        </w:rPr>
      </w:pPr>
    </w:p>
    <w:p w14:paraId="117C6DCA"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CAPÍTULO I</w:t>
      </w:r>
    </w:p>
    <w:p w14:paraId="6D8C9501"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DAS DISPOSIÇÕES GERAIS</w:t>
      </w:r>
    </w:p>
    <w:p w14:paraId="453D312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5793DE04"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Os procedimentos de que trata este Decreto atendem às normas de Direito Financeiros previstos na legislação vigente e objetivam o cumprimento dos prazos legais estabelecidos para a elaboração e divulgação de demonstrativos contábeis consolidados, e propiciam a disponibilização de informações necessárias à prestação de contas anual do exercício financeiro. </w:t>
      </w:r>
    </w:p>
    <w:p w14:paraId="5EB91D69"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7EAA3CCD"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2º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O cronograma de atividades e as datas a serem observadas na execução orçamentária, financeira e patrimonial estão definidos no </w:t>
      </w:r>
      <w:r w:rsidRPr="00E25FEE">
        <w:rPr>
          <w:rFonts w:ascii="Cambria" w:eastAsia="Calibri" w:hAnsi="Cambria" w:cs="Arial"/>
          <w:bCs/>
          <w:sz w:val="22"/>
          <w:szCs w:val="22"/>
          <w:lang w:eastAsia="en-US"/>
        </w:rPr>
        <w:t>anexo I</w:t>
      </w:r>
      <w:r w:rsidRPr="00E25FEE">
        <w:rPr>
          <w:rFonts w:ascii="Cambria" w:eastAsia="Calibri" w:hAnsi="Cambria" w:cs="Arial"/>
          <w:sz w:val="22"/>
          <w:szCs w:val="22"/>
          <w:lang w:eastAsia="en-US"/>
        </w:rPr>
        <w:t xml:space="preserve"> parte integrante deste Decreto.</w:t>
      </w:r>
    </w:p>
    <w:p w14:paraId="63EB87B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1º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Para fins de cumprimento dos prazos e das normas estabelecidas neste Decreto, fica o Setor de Contabilidade autorizado a proceder, quando necessário, mediante prévia comunicação, o bloqueio ou liberação de funcionalidades dos Sistemas Informatizados envolvidos.</w:t>
      </w:r>
    </w:p>
    <w:p w14:paraId="5DC38D3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2º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A não observância dos prazos dispostos no Anexo a que se refere o caput implicará na responsabilidade dos servidores encarregados das informações, ensejando apuração de responsabilidade de ordem funcional nos termos da Legislação vigente. </w:t>
      </w:r>
    </w:p>
    <w:p w14:paraId="320D6739"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473DD34B"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3º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A partir da publicação deste Decreto e até a publicação do Balanço Geral do Município, são consideradas urgentes e prioritárias as atividades vinculadas à contabilidade, auditoria, apuração orçamentária e inventário em todos os Órgãos e Entidades da Administração Pública Municipal.</w:t>
      </w:r>
    </w:p>
    <w:p w14:paraId="29DFB91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06CB8C55"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CAPÍTULO II</w:t>
      </w:r>
    </w:p>
    <w:p w14:paraId="49D3537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DO ENCERRAMENTO DO EXERCÍCIO</w:t>
      </w:r>
    </w:p>
    <w:p w14:paraId="4B362472"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Seção I</w:t>
      </w:r>
    </w:p>
    <w:p w14:paraId="7720FAEF"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Do Fechamento Orçamentário e Financeiro</w:t>
      </w:r>
    </w:p>
    <w:p w14:paraId="474794A4" w14:textId="77777777" w:rsidR="00734F98" w:rsidRPr="00E25FEE" w:rsidRDefault="00734F98" w:rsidP="00356927">
      <w:pPr>
        <w:autoSpaceDE w:val="0"/>
        <w:autoSpaceDN w:val="0"/>
        <w:adjustRightInd w:val="0"/>
        <w:jc w:val="center"/>
        <w:rPr>
          <w:rFonts w:ascii="Cambria" w:eastAsia="Calibri" w:hAnsi="Cambria" w:cs="Arial"/>
          <w:b/>
          <w:bCs/>
          <w:sz w:val="22"/>
          <w:szCs w:val="22"/>
          <w:lang w:eastAsia="en-US"/>
        </w:rPr>
      </w:pPr>
    </w:p>
    <w:p w14:paraId="201E2E1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4º</w:t>
      </w:r>
      <w:r w:rsidRPr="00E25FEE">
        <w:rPr>
          <w:rFonts w:ascii="Cambria" w:eastAsia="Calibri" w:hAnsi="Cambria" w:cs="Arial"/>
          <w:sz w:val="22"/>
          <w:szCs w:val="22"/>
          <w:lang w:eastAsia="en-US"/>
        </w:rPr>
        <w:t xml:space="preserve"> Para fins de encerramento do exercício fica estabelecido no Anexo I deste Decreto o último dia para empenhamento de despesas de todos os Órgãos e Entidades da Administração Municipal, Direta e Indireta, para todas as fontes de recursos. </w:t>
      </w:r>
    </w:p>
    <w:p w14:paraId="40DC2D3C"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1º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Não se aplica o disposto no </w:t>
      </w:r>
      <w:r w:rsidRPr="00E25FEE">
        <w:rPr>
          <w:rFonts w:ascii="Cambria" w:eastAsia="Calibri" w:hAnsi="Cambria" w:cs="Arial"/>
          <w:i/>
          <w:iCs/>
          <w:sz w:val="22"/>
          <w:szCs w:val="22"/>
          <w:lang w:eastAsia="en-US"/>
        </w:rPr>
        <w:t xml:space="preserve">caput </w:t>
      </w:r>
      <w:r w:rsidRPr="00E25FEE">
        <w:rPr>
          <w:rFonts w:ascii="Cambria" w:eastAsia="Calibri" w:hAnsi="Cambria" w:cs="Arial"/>
          <w:sz w:val="22"/>
          <w:szCs w:val="22"/>
          <w:lang w:eastAsia="en-US"/>
        </w:rPr>
        <w:t xml:space="preserve">deste artigo às despesas: </w:t>
      </w:r>
    </w:p>
    <w:p w14:paraId="59C025B2"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 – </w:t>
      </w:r>
      <w:proofErr w:type="gramStart"/>
      <w:r w:rsidRPr="00E25FEE">
        <w:rPr>
          <w:rFonts w:ascii="Cambria" w:eastAsia="Calibri" w:hAnsi="Cambria" w:cs="Arial"/>
          <w:sz w:val="22"/>
          <w:szCs w:val="22"/>
          <w:lang w:eastAsia="en-US"/>
        </w:rPr>
        <w:t>relativas</w:t>
      </w:r>
      <w:proofErr w:type="gramEnd"/>
      <w:r w:rsidRPr="00E25FEE">
        <w:rPr>
          <w:rFonts w:ascii="Cambria" w:eastAsia="Calibri" w:hAnsi="Cambria" w:cs="Arial"/>
          <w:sz w:val="22"/>
          <w:szCs w:val="22"/>
          <w:lang w:eastAsia="en-US"/>
        </w:rPr>
        <w:t xml:space="preserve"> à folha de pagamento e respectivas obrigações patronais; </w:t>
      </w:r>
    </w:p>
    <w:p w14:paraId="3B7301C5"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 – </w:t>
      </w:r>
      <w:proofErr w:type="gramStart"/>
      <w:r w:rsidRPr="00E25FEE">
        <w:rPr>
          <w:rFonts w:ascii="Cambria" w:eastAsia="Calibri" w:hAnsi="Cambria" w:cs="Arial"/>
          <w:sz w:val="22"/>
          <w:szCs w:val="22"/>
          <w:lang w:eastAsia="en-US"/>
        </w:rPr>
        <w:t>classificáveis</w:t>
      </w:r>
      <w:proofErr w:type="gramEnd"/>
      <w:r w:rsidRPr="00E25FEE">
        <w:rPr>
          <w:rFonts w:ascii="Cambria" w:eastAsia="Calibri" w:hAnsi="Cambria" w:cs="Arial"/>
          <w:sz w:val="22"/>
          <w:szCs w:val="22"/>
          <w:lang w:eastAsia="en-US"/>
        </w:rPr>
        <w:t xml:space="preserve"> na função 28 – Encargos Especiais; </w:t>
      </w:r>
    </w:p>
    <w:p w14:paraId="4617AFD1"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III – </w:t>
      </w:r>
      <w:r w:rsidRPr="00E25FEE">
        <w:rPr>
          <w:rFonts w:ascii="Cambria" w:eastAsia="Calibri" w:hAnsi="Cambria" w:cs="Arial"/>
          <w:sz w:val="22"/>
          <w:szCs w:val="22"/>
          <w:lang w:eastAsia="en-US"/>
        </w:rPr>
        <w:t xml:space="preserve">necessárias à aplicação mínima de recursos constitucionalmente vinculados à Manutenção e Desenvolvimento do Ensino e às Ações e Serviços Públicos de Saúde; </w:t>
      </w:r>
    </w:p>
    <w:p w14:paraId="15C0C92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IV – </w:t>
      </w:r>
      <w:proofErr w:type="gramStart"/>
      <w:r w:rsidRPr="00E25FEE">
        <w:rPr>
          <w:rFonts w:ascii="Cambria" w:eastAsia="Calibri" w:hAnsi="Cambria" w:cs="Arial"/>
          <w:sz w:val="22"/>
          <w:szCs w:val="22"/>
          <w:lang w:eastAsia="en-US"/>
        </w:rPr>
        <w:t>custeadas</w:t>
      </w:r>
      <w:proofErr w:type="gramEnd"/>
      <w:r w:rsidRPr="00E25FEE">
        <w:rPr>
          <w:rFonts w:ascii="Cambria" w:eastAsia="Calibri" w:hAnsi="Cambria" w:cs="Arial"/>
          <w:sz w:val="22"/>
          <w:szCs w:val="22"/>
          <w:lang w:eastAsia="en-US"/>
        </w:rPr>
        <w:t xml:space="preserve"> com recursos recebidos oriundos de Transferências Voluntárias da União e do Estado bem como as suportadas com recursos provenientes de Operações de Crédito, com receita efetivamente arrecadada; </w:t>
      </w:r>
    </w:p>
    <w:p w14:paraId="1FF2C4E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V – </w:t>
      </w:r>
      <w:proofErr w:type="gramStart"/>
      <w:r w:rsidRPr="00E25FEE">
        <w:rPr>
          <w:rFonts w:ascii="Cambria" w:eastAsia="Calibri" w:hAnsi="Cambria" w:cs="Arial"/>
          <w:sz w:val="22"/>
          <w:szCs w:val="22"/>
          <w:lang w:eastAsia="en-US"/>
        </w:rPr>
        <w:t>decorrentes</w:t>
      </w:r>
      <w:proofErr w:type="gramEnd"/>
      <w:r w:rsidRPr="00E25FEE">
        <w:rPr>
          <w:rFonts w:ascii="Cambria" w:eastAsia="Calibri" w:hAnsi="Cambria" w:cs="Arial"/>
          <w:sz w:val="22"/>
          <w:szCs w:val="22"/>
          <w:lang w:eastAsia="en-US"/>
        </w:rPr>
        <w:t xml:space="preserve"> de sentenças judiciais e respectivas custas, cujo pagamento tenha que ser efetuado até o final do exercício, na forma do Art. 100 da Constituição da República; </w:t>
      </w:r>
    </w:p>
    <w:p w14:paraId="3F788791"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VI</w:t>
      </w:r>
      <w:r w:rsidRPr="00E25FEE">
        <w:rPr>
          <w:rFonts w:ascii="Cambria" w:eastAsia="Calibri" w:hAnsi="Cambria" w:cs="Arial"/>
          <w:b/>
          <w:bCs/>
          <w:sz w:val="22"/>
          <w:szCs w:val="22"/>
          <w:lang w:eastAsia="en-US"/>
        </w:rPr>
        <w:t xml:space="preserve"> – </w:t>
      </w:r>
      <w:proofErr w:type="gramStart"/>
      <w:r w:rsidRPr="00E25FEE">
        <w:rPr>
          <w:rFonts w:ascii="Cambria" w:eastAsia="Calibri" w:hAnsi="Cambria" w:cs="Arial"/>
          <w:bCs/>
          <w:sz w:val="22"/>
          <w:szCs w:val="22"/>
          <w:lang w:eastAsia="en-US"/>
        </w:rPr>
        <w:t>decorrentes</w:t>
      </w:r>
      <w:proofErr w:type="gramEnd"/>
      <w:r w:rsidRPr="00E25FEE">
        <w:rPr>
          <w:rFonts w:ascii="Cambria" w:eastAsia="Calibri" w:hAnsi="Cambria" w:cs="Arial"/>
          <w:bCs/>
          <w:sz w:val="22"/>
          <w:szCs w:val="22"/>
          <w:lang w:eastAsia="en-US"/>
        </w:rPr>
        <w:t xml:space="preserve"> de casos de emergências ou calamidade pública, </w:t>
      </w:r>
      <w:r w:rsidRPr="00E25FEE">
        <w:rPr>
          <w:rFonts w:ascii="Cambria" w:eastAsia="Calibri" w:hAnsi="Cambria" w:cs="Arial"/>
          <w:sz w:val="22"/>
          <w:szCs w:val="22"/>
          <w:lang w:eastAsia="en-US"/>
        </w:rPr>
        <w:t>descritas no art. 75, inciso VIII da Lei Federal nº 14.133/2021, desde que expressamente autorizada pelo Prefeito;</w:t>
      </w:r>
    </w:p>
    <w:p w14:paraId="0DF5A19E"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VII – </w:t>
      </w:r>
      <w:r w:rsidRPr="00E25FEE">
        <w:rPr>
          <w:rFonts w:ascii="Cambria" w:eastAsia="Calibri" w:hAnsi="Cambria" w:cs="Arial"/>
          <w:sz w:val="22"/>
          <w:szCs w:val="22"/>
          <w:lang w:eastAsia="en-US"/>
        </w:rPr>
        <w:t>as decorrentes de juros, encargos e amortização da dívida.</w:t>
      </w:r>
    </w:p>
    <w:p w14:paraId="2345D902"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49A2D474"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5º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O saldo dos recursos financeiros decorrentes de repasses ao Poder Legislativo deverá ser transferido ao Poder Executivo até a data estabelecida no Anexo I deste Decreto. </w:t>
      </w:r>
    </w:p>
    <w:p w14:paraId="06BD3ED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252133CC"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6º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As Transações bancárias destinadas ao pagamento de despesas que devam se processar até o encerramento do exercício, independentemente da fonte de recurso, deverão ser emitidos até as 15h (quinze horas) do último dia útil do ano.</w:t>
      </w:r>
    </w:p>
    <w:p w14:paraId="05CCE398"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2043E077"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Seção II</w:t>
      </w:r>
    </w:p>
    <w:p w14:paraId="6706E914"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Dos Restos a Pagar</w:t>
      </w:r>
    </w:p>
    <w:p w14:paraId="0F2898C8"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379F571"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7º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Serão inscritas em Restos a Pagar as despesas legalmente empenhadas e liquidadas e as despesas não liquidadas, até o limite do saldo de disponibilidade financeira exceto para as frustrações de recebimento de convênio.</w:t>
      </w:r>
    </w:p>
    <w:p w14:paraId="18C9C02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Parágrafo único</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Em conformidade com o disposto no Art. 50, inciso II, da Lei Complementar nº 101/2000, e para efeitos de inscrição em restos a pagar processados, serão consideradas liquidadas, ainda que pendentes de apresentação dos documentos fiscais, as despesas comprovadamente de competência do exercício financeiro relacionado a:</w:t>
      </w:r>
    </w:p>
    <w:p w14:paraId="0EDD5251"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 – </w:t>
      </w:r>
      <w:proofErr w:type="gramStart"/>
      <w:r w:rsidRPr="00E25FEE">
        <w:rPr>
          <w:rFonts w:ascii="Cambria" w:eastAsia="Calibri" w:hAnsi="Cambria" w:cs="Arial"/>
          <w:sz w:val="22"/>
          <w:szCs w:val="22"/>
          <w:lang w:eastAsia="en-US"/>
        </w:rPr>
        <w:t>tarifas e taxas</w:t>
      </w:r>
      <w:proofErr w:type="gramEnd"/>
      <w:r w:rsidRPr="00E25FEE">
        <w:rPr>
          <w:rFonts w:ascii="Cambria" w:eastAsia="Calibri" w:hAnsi="Cambria" w:cs="Arial"/>
          <w:sz w:val="22"/>
          <w:szCs w:val="22"/>
          <w:lang w:eastAsia="en-US"/>
        </w:rPr>
        <w:t xml:space="preserve"> referentes à utilização de serviços de telefonia, internet e energia elétrica; </w:t>
      </w:r>
    </w:p>
    <w:p w14:paraId="5BAB9F1A"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 – </w:t>
      </w:r>
      <w:proofErr w:type="gramStart"/>
      <w:r w:rsidRPr="00E25FEE">
        <w:rPr>
          <w:rFonts w:ascii="Cambria" w:eastAsia="Calibri" w:hAnsi="Cambria" w:cs="Arial"/>
          <w:bCs/>
          <w:sz w:val="22"/>
          <w:szCs w:val="22"/>
          <w:lang w:eastAsia="en-US"/>
        </w:rPr>
        <w:t>d</w:t>
      </w:r>
      <w:r w:rsidRPr="00E25FEE">
        <w:rPr>
          <w:rFonts w:ascii="Cambria" w:eastAsia="Calibri" w:hAnsi="Cambria" w:cs="Arial"/>
          <w:sz w:val="22"/>
          <w:szCs w:val="22"/>
          <w:lang w:eastAsia="en-US"/>
        </w:rPr>
        <w:t>espesas</w:t>
      </w:r>
      <w:proofErr w:type="gramEnd"/>
      <w:r w:rsidRPr="00E25FEE">
        <w:rPr>
          <w:rFonts w:ascii="Cambria" w:eastAsia="Calibri" w:hAnsi="Cambria" w:cs="Arial"/>
          <w:sz w:val="22"/>
          <w:szCs w:val="22"/>
          <w:lang w:eastAsia="en-US"/>
        </w:rPr>
        <w:t xml:space="preserve"> lastreadas em contratos de natureza continuada, cujo objeto ou parcela deste seja cumprido e atestado pela Administração Municipal até 31 de dezembro, em observância ao regramento da vigência dos contratos administrativos previsto no Art. 107, §1º </w:t>
      </w:r>
      <w:r w:rsidRPr="00E25FEE">
        <w:rPr>
          <w:rFonts w:ascii="Cambria" w:eastAsia="Calibri" w:hAnsi="Cambria" w:cs="Arial"/>
          <w:sz w:val="22"/>
          <w:szCs w:val="22"/>
          <w:lang w:eastAsia="en-US"/>
        </w:rPr>
        <w:lastRenderedPageBreak/>
        <w:t>e §4º da Lei Federal nº 14.133, de 1º de abril de 2021, tais como aluguéis, locação de equipamentos e utilização de programas de informática.</w:t>
      </w:r>
    </w:p>
    <w:p w14:paraId="620392B1" w14:textId="77777777" w:rsidR="00734F98" w:rsidRPr="00E25FEE" w:rsidRDefault="00734F98" w:rsidP="00356927">
      <w:pPr>
        <w:autoSpaceDE w:val="0"/>
        <w:autoSpaceDN w:val="0"/>
        <w:adjustRightInd w:val="0"/>
        <w:jc w:val="both"/>
        <w:rPr>
          <w:rFonts w:ascii="Cambria" w:eastAsia="Calibri" w:hAnsi="Cambria" w:cs="Arial"/>
          <w:b/>
          <w:bCs/>
          <w:sz w:val="22"/>
          <w:szCs w:val="22"/>
          <w:lang w:eastAsia="en-US"/>
        </w:rPr>
      </w:pPr>
    </w:p>
    <w:p w14:paraId="3E1F7FD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8º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As despesas não-liquidadas e não-inscritas em Restos a Pagar por falta de disponibilidade de caixa terão seus empenhos cancelados, devendo os respectivos valores serem evidenciados no Relatório de Gestão Fiscal, conforme o disposto no Art. 55, inciso III, “b”, item “4”, da Lei Complementar nº 101/2000.</w:t>
      </w:r>
    </w:p>
    <w:p w14:paraId="5979533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p>
    <w:p w14:paraId="1E7B6B6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9º</w:t>
      </w:r>
      <w:r w:rsidRPr="00E25FEE">
        <w:rPr>
          <w:rFonts w:ascii="Cambria" w:eastAsia="Calibri" w:hAnsi="Cambria" w:cs="Arial"/>
          <w:sz w:val="22"/>
          <w:szCs w:val="22"/>
          <w:lang w:eastAsia="en-US"/>
        </w:rPr>
        <w:t xml:space="preserve"> Os Saldos dos empenhos inscritos em Restos a Pagar Não-Processados até 31 de dezembro do exercício anterior serão anulados até o último dia útil do exercício vigente, desde que não se refiram a despesas em liquidação. </w:t>
      </w:r>
    </w:p>
    <w:p w14:paraId="7FD5491A"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Parágrafo único.</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Considera-se em liquidação, a despesa já empenhada, cuja obra, serviço ou material contratado já tenha sido executado, prestado ou entregue e que, no encerramento do exercício, ainda se encontre em fase de verificação do direito adquirido pelo credor.</w:t>
      </w:r>
    </w:p>
    <w:p w14:paraId="34626B19"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3EB3734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10.</w:t>
      </w:r>
      <w:r w:rsidRPr="00E25FEE">
        <w:rPr>
          <w:rFonts w:ascii="Cambria" w:eastAsia="Calibri" w:hAnsi="Cambria" w:cs="Arial"/>
          <w:b/>
          <w:bCs/>
          <w:sz w:val="22"/>
          <w:szCs w:val="22"/>
          <w:lang w:eastAsia="en-US"/>
        </w:rPr>
        <w:t xml:space="preserve"> </w:t>
      </w:r>
      <w:bookmarkStart w:id="0" w:name="_Hlk211956760"/>
      <w:r w:rsidRPr="00E25FEE">
        <w:rPr>
          <w:rFonts w:ascii="Cambria" w:eastAsia="Calibri" w:hAnsi="Cambria" w:cs="Arial"/>
          <w:sz w:val="22"/>
          <w:szCs w:val="22"/>
          <w:lang w:eastAsia="en-US"/>
        </w:rPr>
        <w:t>Desde que observado o disposto no Decreto Federal nº 20.910, de 06 de janeiro de 1932</w:t>
      </w:r>
      <w:bookmarkEnd w:id="0"/>
      <w:r w:rsidRPr="00E25FEE">
        <w:rPr>
          <w:rFonts w:ascii="Cambria" w:eastAsia="Calibri" w:hAnsi="Cambria" w:cs="Arial"/>
          <w:sz w:val="22"/>
          <w:szCs w:val="22"/>
          <w:lang w:eastAsia="en-US"/>
        </w:rPr>
        <w:t xml:space="preserve">, o saldo de Restos a Pagar Processados inscritos a mais de cinco anos, e não reclamado pelos respectivos credores, será baixado por prescrição até a data estabelecida no Anexo I deste Decreto. </w:t>
      </w:r>
    </w:p>
    <w:p w14:paraId="055A326E" w14:textId="77777777" w:rsidR="00734F98" w:rsidRPr="00E25FEE" w:rsidRDefault="00734F98" w:rsidP="00356927">
      <w:pPr>
        <w:autoSpaceDE w:val="0"/>
        <w:autoSpaceDN w:val="0"/>
        <w:adjustRightInd w:val="0"/>
        <w:ind w:firstLine="1418"/>
        <w:jc w:val="both"/>
        <w:rPr>
          <w:rFonts w:ascii="Cambria" w:eastAsia="Calibri" w:hAnsi="Cambria" w:cs="Arial"/>
          <w:b/>
          <w:bCs/>
          <w:sz w:val="22"/>
          <w:szCs w:val="22"/>
          <w:lang w:eastAsia="en-US"/>
        </w:rPr>
      </w:pPr>
    </w:p>
    <w:p w14:paraId="704D4BF2"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11.</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Compete à Secretaria Municipal de Gestão, Planejamento e Finanças, observadas as disposições desta Seção, decidir e indicar por escrito ao Setor de Contabilidade, no prazo estabelecido no Anexo I deste Decreto, as inscrições em restos a pagar processados e não processados, bem como os casos de prescrição, anulação ou cancelamento de empenhos.</w:t>
      </w:r>
    </w:p>
    <w:p w14:paraId="606786A3" w14:textId="77777777" w:rsidR="00734F98" w:rsidRPr="00E25FEE" w:rsidRDefault="00734F98" w:rsidP="00356927">
      <w:pPr>
        <w:autoSpaceDE w:val="0"/>
        <w:autoSpaceDN w:val="0"/>
        <w:adjustRightInd w:val="0"/>
        <w:jc w:val="both"/>
        <w:rPr>
          <w:rFonts w:ascii="Cambria" w:eastAsia="Calibri" w:hAnsi="Cambria" w:cs="Arial"/>
          <w:b/>
          <w:bCs/>
          <w:sz w:val="22"/>
          <w:szCs w:val="22"/>
          <w:lang w:eastAsia="en-US"/>
        </w:rPr>
      </w:pPr>
    </w:p>
    <w:p w14:paraId="7EA501A3"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Seção III</w:t>
      </w:r>
    </w:p>
    <w:p w14:paraId="1B3CD60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Das Contas Bancárias</w:t>
      </w:r>
    </w:p>
    <w:p w14:paraId="07EBC8A7" w14:textId="77777777" w:rsidR="00734F98" w:rsidRPr="00E25FEE" w:rsidRDefault="00734F98" w:rsidP="00356927">
      <w:pPr>
        <w:autoSpaceDE w:val="0"/>
        <w:autoSpaceDN w:val="0"/>
        <w:adjustRightInd w:val="0"/>
        <w:ind w:firstLine="1418"/>
        <w:jc w:val="center"/>
        <w:rPr>
          <w:rFonts w:ascii="Cambria" w:eastAsia="Calibri" w:hAnsi="Cambria" w:cs="Arial"/>
          <w:sz w:val="22"/>
          <w:szCs w:val="22"/>
          <w:lang w:eastAsia="en-US"/>
        </w:rPr>
      </w:pPr>
    </w:p>
    <w:p w14:paraId="7B7D56AD"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12.</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Até final do exercício financeiro, o responsável pela tesouraria deverá apurar junto as instituições financeiras que operam com o Município, todas as contas bancárias ativas e inativas vinculadas a todos os Cadastros Nacionais de Pessoas Jurídicas (</w:t>
      </w:r>
      <w:proofErr w:type="spellStart"/>
      <w:r w:rsidRPr="00E25FEE">
        <w:rPr>
          <w:rFonts w:ascii="Cambria" w:eastAsia="Calibri" w:hAnsi="Cambria" w:cs="Arial"/>
          <w:sz w:val="22"/>
          <w:szCs w:val="22"/>
          <w:lang w:eastAsia="en-US"/>
        </w:rPr>
        <w:t>CNPJ’s</w:t>
      </w:r>
      <w:proofErr w:type="spellEnd"/>
      <w:r w:rsidRPr="00E25FEE">
        <w:rPr>
          <w:rFonts w:ascii="Cambria" w:eastAsia="Calibri" w:hAnsi="Cambria" w:cs="Arial"/>
          <w:sz w:val="22"/>
          <w:szCs w:val="22"/>
          <w:lang w:eastAsia="en-US"/>
        </w:rPr>
        <w:t xml:space="preserve">) administrados pelo Município, para fins de verificação e conciliação dos registros contábeis e para que se proceda à solicitação de encerramento das contas bancárias em desuso. </w:t>
      </w:r>
    </w:p>
    <w:p w14:paraId="12732AE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1º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Todos os recursos existentes nas contas bancárias apuradas a partir do levantamento de que trata o </w:t>
      </w:r>
      <w:r w:rsidRPr="00E25FEE">
        <w:rPr>
          <w:rFonts w:ascii="Cambria" w:eastAsia="Calibri" w:hAnsi="Cambria" w:cs="Arial"/>
          <w:i/>
          <w:iCs/>
          <w:sz w:val="22"/>
          <w:szCs w:val="22"/>
          <w:lang w:eastAsia="en-US"/>
        </w:rPr>
        <w:t xml:space="preserve">caput </w:t>
      </w:r>
      <w:r w:rsidRPr="00E25FEE">
        <w:rPr>
          <w:rFonts w:ascii="Cambria" w:eastAsia="Calibri" w:hAnsi="Cambria" w:cs="Arial"/>
          <w:sz w:val="22"/>
          <w:szCs w:val="22"/>
          <w:lang w:eastAsia="en-US"/>
        </w:rPr>
        <w:t xml:space="preserve">deste artigo deverão estar devidamente contabilizados, inclusive os recursos de terceiros que, transitoriamente, estejam em poder do Município. </w:t>
      </w:r>
    </w:p>
    <w:p w14:paraId="6741A3BA"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2º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Os recursos ingressados nas contas bancárias, cuja origem for desconhecida, de forma a impedir a correta classificação da receita, deverão ser registrados na conta contábil 4.9.1.0.1.00.00.00 – VPA a Classificar – Consolidação, até sua devida regularização.</w:t>
      </w:r>
    </w:p>
    <w:p w14:paraId="5C32FF2B" w14:textId="77777777" w:rsidR="00734F98" w:rsidRPr="00E25FEE" w:rsidRDefault="00734F98" w:rsidP="00356927">
      <w:pPr>
        <w:autoSpaceDE w:val="0"/>
        <w:autoSpaceDN w:val="0"/>
        <w:adjustRightInd w:val="0"/>
        <w:jc w:val="both"/>
        <w:rPr>
          <w:rFonts w:ascii="Cambria" w:eastAsia="Calibri" w:hAnsi="Cambria" w:cs="Arial"/>
          <w:b/>
          <w:bCs/>
          <w:sz w:val="22"/>
          <w:szCs w:val="22"/>
          <w:lang w:eastAsia="en-US"/>
        </w:rPr>
      </w:pPr>
    </w:p>
    <w:p w14:paraId="2B74045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13.</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Para fins de observância do regime de competência, bem como a observância do item 5 da NBC T 16.10 aprovada pela Resolução nº 1.137/2008, do Conselho Federal de Contabilidade, os rendimentos de aplicações financeiras do exercício financeiro, bem como os recursos oriundos de transferências constitucionais ou legais, cujo valor somente possa ser conhecido após o último dia útil do exercício financeiro, poderão, excepcionalmente, ser registrados como receita orçamentária daquele exercício, até o 5º dia útil do mês de janeiro do exercício subsequente. </w:t>
      </w:r>
    </w:p>
    <w:p w14:paraId="1CD750C7"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0B42AD99" w14:textId="71274CF1"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lastRenderedPageBreak/>
        <w:t>Art. 14.</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Compete aos responsáveis pelos serviços contábeis dos órgãos e das entidades da administração pública municipal realizarem a conciliação de todas as contas bancárias s</w:t>
      </w:r>
      <w:r w:rsidR="000B114C">
        <w:rPr>
          <w:rFonts w:ascii="Cambria" w:eastAsia="Calibri" w:hAnsi="Cambria" w:cs="Arial"/>
          <w:sz w:val="22"/>
          <w:szCs w:val="22"/>
          <w:lang w:eastAsia="en-US"/>
        </w:rPr>
        <w:t>ob sua responsabilidade, até o 6</w:t>
      </w:r>
      <w:r w:rsidRPr="00E25FEE">
        <w:rPr>
          <w:rFonts w:ascii="Cambria" w:eastAsia="Calibri" w:hAnsi="Cambria" w:cs="Arial"/>
          <w:sz w:val="22"/>
          <w:szCs w:val="22"/>
          <w:lang w:eastAsia="en-US"/>
        </w:rPr>
        <w:t>º dia do mês de janeiro do exercício subsequente.</w:t>
      </w:r>
    </w:p>
    <w:p w14:paraId="554F60A8" w14:textId="77777777" w:rsidR="00E25FEE" w:rsidRDefault="00E25FEE" w:rsidP="00356927">
      <w:pPr>
        <w:autoSpaceDE w:val="0"/>
        <w:autoSpaceDN w:val="0"/>
        <w:adjustRightInd w:val="0"/>
        <w:jc w:val="center"/>
        <w:rPr>
          <w:rFonts w:ascii="Cambria" w:eastAsia="Calibri" w:hAnsi="Cambria" w:cs="Arial"/>
          <w:b/>
          <w:bCs/>
          <w:sz w:val="22"/>
          <w:szCs w:val="22"/>
          <w:lang w:eastAsia="en-US"/>
        </w:rPr>
      </w:pPr>
    </w:p>
    <w:p w14:paraId="180A8F1E" w14:textId="7D6636C0"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Seção IV</w:t>
      </w:r>
    </w:p>
    <w:p w14:paraId="68211EC7"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Do Inventário de Bens</w:t>
      </w:r>
    </w:p>
    <w:p w14:paraId="59A6B0E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6ADE5EDE"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15.</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Para fins de fechamento do Balanço Anual, e considerando a necessidade da consolidação das contas anuais, a comissão composta para proceder ao inventário dos bens permanentes bem como dos bens de consumo e permanentes existentes no almoxarifado, deverá concluir o relatório no prazo estabelecido no Anexo I deste Decreto.</w:t>
      </w:r>
    </w:p>
    <w:p w14:paraId="6FEA64A1"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p>
    <w:p w14:paraId="0E23699B"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16.</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Deverá ser anexada ao Balanço Anual a ser entregue ao Tribunal de Contas do Estado, a cópia da ata do inventário de bens bem como as Declarações de Regularidade dos Inventários dos Bens em Almoxarifado e do Inventário Físico dos Bens Móveis e Imóveis, firmada pelos membros da comissão de que trata o artigo art. 15 deste Decreto e pelo ordenador de despesas. </w:t>
      </w:r>
    </w:p>
    <w:p w14:paraId="7F970F2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Parágrafo único.</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Se na conclusão do inventário forem constatadas inconsistências ou irregularidades que venham a impossibilitar a emissão das Declarações de que trata o </w:t>
      </w:r>
      <w:r w:rsidRPr="00E25FEE">
        <w:rPr>
          <w:rFonts w:ascii="Cambria" w:eastAsia="Calibri" w:hAnsi="Cambria" w:cs="Arial"/>
          <w:i/>
          <w:iCs/>
          <w:sz w:val="22"/>
          <w:szCs w:val="22"/>
          <w:lang w:eastAsia="en-US"/>
        </w:rPr>
        <w:t xml:space="preserve">caput </w:t>
      </w:r>
      <w:r w:rsidRPr="00E25FEE">
        <w:rPr>
          <w:rFonts w:ascii="Cambria" w:eastAsia="Calibri" w:hAnsi="Cambria" w:cs="Arial"/>
          <w:sz w:val="22"/>
          <w:szCs w:val="22"/>
          <w:lang w:eastAsia="en-US"/>
        </w:rPr>
        <w:t>deste artigo, estas deverão ser elencadas e justificadas na respectiva ata.</w:t>
      </w:r>
    </w:p>
    <w:p w14:paraId="612E80E6" w14:textId="77777777" w:rsidR="00734F98" w:rsidRPr="00E25FEE" w:rsidRDefault="00734F98" w:rsidP="00356927">
      <w:pPr>
        <w:autoSpaceDE w:val="0"/>
        <w:autoSpaceDN w:val="0"/>
        <w:adjustRightInd w:val="0"/>
        <w:jc w:val="center"/>
        <w:rPr>
          <w:rFonts w:ascii="Cambria" w:eastAsia="Calibri" w:hAnsi="Cambria" w:cs="Arial"/>
          <w:b/>
          <w:bCs/>
          <w:sz w:val="22"/>
          <w:szCs w:val="22"/>
          <w:lang w:eastAsia="en-US"/>
        </w:rPr>
      </w:pPr>
    </w:p>
    <w:p w14:paraId="5013D716"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CAPÍTULO V</w:t>
      </w:r>
    </w:p>
    <w:p w14:paraId="242F578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Cs/>
          <w:sz w:val="22"/>
          <w:szCs w:val="22"/>
          <w:lang w:eastAsia="en-US"/>
        </w:rPr>
        <w:t>DISPOSIÇÕES FINAIS</w:t>
      </w:r>
    </w:p>
    <w:p w14:paraId="473DF5D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Seção I</w:t>
      </w:r>
    </w:p>
    <w:p w14:paraId="2F0E09FC"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Das Despesas de Exercícios Anteriores</w:t>
      </w:r>
    </w:p>
    <w:p w14:paraId="48A1D533"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037CD867"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17.</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Após o término do exercício financeiro, poderão ser reconhecidas e pagas por dotações para Despesas de Exercícios Anteriores, obedecida, sempre que possível, a ordem cronológica, as seguintes despesas: </w:t>
      </w:r>
    </w:p>
    <w:p w14:paraId="678696D8"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 – </w:t>
      </w:r>
      <w:r w:rsidRPr="00E25FEE">
        <w:rPr>
          <w:rFonts w:ascii="Cambria" w:eastAsia="Calibri" w:hAnsi="Cambria" w:cs="Arial"/>
          <w:sz w:val="22"/>
          <w:szCs w:val="22"/>
          <w:lang w:eastAsia="en-US"/>
        </w:rPr>
        <w:t xml:space="preserve">Não processadas em época própria, para as quais o orçamento respectivo consignava crédito próprio, com saldo suficiente para atendê-las; </w:t>
      </w:r>
    </w:p>
    <w:p w14:paraId="3155DBD9"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 – </w:t>
      </w:r>
      <w:r w:rsidRPr="00E25FEE">
        <w:rPr>
          <w:rFonts w:ascii="Cambria" w:eastAsia="Calibri" w:hAnsi="Cambria" w:cs="Arial"/>
          <w:sz w:val="22"/>
          <w:szCs w:val="22"/>
          <w:lang w:eastAsia="en-US"/>
        </w:rPr>
        <w:t xml:space="preserve">De Restos a Pagar com prescrição interrompida; e </w:t>
      </w:r>
    </w:p>
    <w:p w14:paraId="45DFE594"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III –</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Relativas a compromissos reconhecidos após o encerramento do exercício correspondente. </w:t>
      </w:r>
    </w:p>
    <w:p w14:paraId="39773F20" w14:textId="77777777" w:rsidR="00734F98" w:rsidRPr="00E25FEE" w:rsidRDefault="00734F98" w:rsidP="00E25FEE">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1º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Os empenhos e os pagamentos à conta de Despesas de Exercícios Anteriores somente podem ser realizados quando houver processo protocolizado a autuado no órgão ou na entidade, contendo os seguintes elementos: </w:t>
      </w:r>
    </w:p>
    <w:p w14:paraId="2EBD78BB"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 – </w:t>
      </w:r>
      <w:r w:rsidRPr="00E25FEE">
        <w:rPr>
          <w:rFonts w:ascii="Cambria" w:eastAsia="Calibri" w:hAnsi="Cambria" w:cs="Arial"/>
          <w:sz w:val="22"/>
          <w:szCs w:val="22"/>
          <w:lang w:eastAsia="en-US"/>
        </w:rPr>
        <w:t xml:space="preserve">Reconhecimento expresso da dívida pela autoridade competente; </w:t>
      </w:r>
    </w:p>
    <w:p w14:paraId="35CD6A10"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 – </w:t>
      </w:r>
      <w:r w:rsidRPr="00E25FEE">
        <w:rPr>
          <w:rFonts w:ascii="Cambria" w:eastAsia="Calibri" w:hAnsi="Cambria" w:cs="Arial"/>
          <w:sz w:val="22"/>
          <w:szCs w:val="22"/>
          <w:lang w:eastAsia="en-US"/>
        </w:rPr>
        <w:t xml:space="preserve">Manifestação fundamentada da consultoria jurídica do órgão ou da entidade quanto à possibilidade e legalidade da realização do pagamento reclamado, além da análise quanto à ocorrência ou não de prescrição em favor da administração municipal, nos termos do Decreto Federal nº 20.910, de 6 de janeiro de 1932, e do Decreto-Lei Federal nº 4.597, de 19 de agosto de 1942; e </w:t>
      </w:r>
    </w:p>
    <w:p w14:paraId="246AB045"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III – </w:t>
      </w:r>
      <w:r w:rsidRPr="00E25FEE">
        <w:rPr>
          <w:rFonts w:ascii="Cambria" w:eastAsia="Calibri" w:hAnsi="Cambria" w:cs="Arial"/>
          <w:sz w:val="22"/>
          <w:szCs w:val="22"/>
          <w:lang w:eastAsia="en-US"/>
        </w:rPr>
        <w:t xml:space="preserve">Autorização expressa da autoridade competente para que se efetue o empenho e o pagamento da dívida à conta de Despesas de Exercícios Anteriores. </w:t>
      </w:r>
    </w:p>
    <w:p w14:paraId="2BF91358"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xml:space="preserve">§ 2º </w:t>
      </w:r>
      <w:r w:rsidRPr="00E25FEE">
        <w:rPr>
          <w:rFonts w:ascii="Cambria" w:eastAsia="Calibri" w:hAnsi="Cambria" w:cs="Arial"/>
          <w:sz w:val="22"/>
          <w:szCs w:val="22"/>
          <w:lang w:eastAsia="en-US"/>
        </w:rPr>
        <w:t xml:space="preserve">O processo de que trata o § 1º deste artigo deverá ficar arquivado no Órgão ou na Entidade, à disposição dos órgãos de controle interno e externo. </w:t>
      </w:r>
    </w:p>
    <w:p w14:paraId="6709CCD1" w14:textId="46A17068" w:rsidR="00734F98" w:rsidRPr="00E25FEE" w:rsidRDefault="00734F98" w:rsidP="00E25FEE">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 3º</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Na realização de empenhos para pagamentos de Despesas de Exercícios Anteriores, devem ser observados, além das disponibilidades orçamentárias, os limites financeiros impostos por decreto de programação financeira e o cronograma de execução mensal de desembolso vigente.</w:t>
      </w:r>
    </w:p>
    <w:p w14:paraId="7E036B6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lastRenderedPageBreak/>
        <w:t>Seção II</w:t>
      </w:r>
    </w:p>
    <w:p w14:paraId="643D3E5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Disposições Finais</w:t>
      </w:r>
    </w:p>
    <w:p w14:paraId="1C8C7DDF" w14:textId="77777777" w:rsidR="00734F98" w:rsidRPr="00E25FEE" w:rsidRDefault="00734F98" w:rsidP="00356927">
      <w:pPr>
        <w:autoSpaceDE w:val="0"/>
        <w:autoSpaceDN w:val="0"/>
        <w:adjustRightInd w:val="0"/>
        <w:rPr>
          <w:rFonts w:ascii="Cambria" w:eastAsia="Calibri" w:hAnsi="Cambria" w:cs="Arial"/>
          <w:b/>
          <w:bCs/>
          <w:sz w:val="22"/>
          <w:szCs w:val="22"/>
          <w:lang w:eastAsia="en-US"/>
        </w:rPr>
      </w:pPr>
    </w:p>
    <w:p w14:paraId="54C5A2AF"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18.</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O Poder Legislativo bem como os titulares da Administração Indireta poderá, por ato próprio, constituir comissão encarregada de assegurar o cumprimento deste Decreto. </w:t>
      </w:r>
    </w:p>
    <w:p w14:paraId="3CFF0923"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p>
    <w:p w14:paraId="1F0E5D55"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19.</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A inscrição de Restos a Pagar em desacordo com as disposições deste Decreto, quando comprovada a má fé, pode ensejar a instauração de Processo Administrativo Disciplinar (PAD) contra quem lhe der causa. </w:t>
      </w:r>
    </w:p>
    <w:p w14:paraId="051F42A6" w14:textId="77777777" w:rsidR="00734F98" w:rsidRPr="00E25FEE" w:rsidRDefault="00734F98" w:rsidP="00356927">
      <w:pPr>
        <w:autoSpaceDE w:val="0"/>
        <w:autoSpaceDN w:val="0"/>
        <w:adjustRightInd w:val="0"/>
        <w:ind w:firstLine="1418"/>
        <w:jc w:val="both"/>
        <w:rPr>
          <w:rFonts w:ascii="Cambria" w:eastAsia="Calibri" w:hAnsi="Cambria" w:cs="Arial"/>
          <w:b/>
          <w:bCs/>
          <w:sz w:val="22"/>
          <w:szCs w:val="22"/>
          <w:lang w:eastAsia="en-US"/>
        </w:rPr>
      </w:pPr>
    </w:p>
    <w:p w14:paraId="1B4C99B2"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Art. 20.</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Fica delegada à Secretaria Municipal da Finanças, competência para edição de normas complementares que julgar necessárias ao fiel cumprimento deste Decreto.</w:t>
      </w:r>
    </w:p>
    <w:p w14:paraId="64B10EC3" w14:textId="77777777" w:rsidR="00734F98" w:rsidRPr="00E25FEE" w:rsidRDefault="00734F98" w:rsidP="00356927">
      <w:pPr>
        <w:autoSpaceDE w:val="0"/>
        <w:autoSpaceDN w:val="0"/>
        <w:adjustRightInd w:val="0"/>
        <w:ind w:firstLine="1418"/>
        <w:jc w:val="both"/>
        <w:rPr>
          <w:rFonts w:ascii="Cambria" w:eastAsia="Calibri" w:hAnsi="Cambria" w:cs="Arial"/>
          <w:sz w:val="22"/>
          <w:szCs w:val="22"/>
          <w:lang w:eastAsia="en-US"/>
        </w:rPr>
      </w:pPr>
      <w:r w:rsidRPr="00E25FEE">
        <w:rPr>
          <w:rFonts w:ascii="Cambria" w:eastAsia="Calibri" w:hAnsi="Cambria" w:cs="Arial"/>
          <w:bCs/>
          <w:sz w:val="22"/>
          <w:szCs w:val="22"/>
          <w:lang w:eastAsia="en-US"/>
        </w:rPr>
        <w:t>Parágrafo único.</w:t>
      </w:r>
      <w:r w:rsidRPr="00E25FEE">
        <w:rPr>
          <w:rFonts w:ascii="Cambria" w:eastAsia="Calibri" w:hAnsi="Cambria" w:cs="Arial"/>
          <w:b/>
          <w:bCs/>
          <w:sz w:val="22"/>
          <w:szCs w:val="22"/>
          <w:lang w:eastAsia="en-US"/>
        </w:rPr>
        <w:t xml:space="preserve"> </w:t>
      </w:r>
      <w:r w:rsidRPr="00E25FEE">
        <w:rPr>
          <w:rFonts w:ascii="Cambria" w:eastAsia="Calibri" w:hAnsi="Cambria" w:cs="Arial"/>
          <w:sz w:val="22"/>
          <w:szCs w:val="22"/>
          <w:lang w:eastAsia="en-US"/>
        </w:rPr>
        <w:t xml:space="preserve">Também fica delegada competência ao Órgão mencionado no </w:t>
      </w:r>
      <w:r w:rsidRPr="00E25FEE">
        <w:rPr>
          <w:rFonts w:ascii="Cambria" w:eastAsia="Calibri" w:hAnsi="Cambria" w:cs="Arial"/>
          <w:i/>
          <w:iCs/>
          <w:sz w:val="22"/>
          <w:szCs w:val="22"/>
          <w:lang w:eastAsia="en-US"/>
        </w:rPr>
        <w:t xml:space="preserve">caput </w:t>
      </w:r>
      <w:r w:rsidRPr="00E25FEE">
        <w:rPr>
          <w:rFonts w:ascii="Cambria" w:eastAsia="Calibri" w:hAnsi="Cambria" w:cs="Arial"/>
          <w:sz w:val="22"/>
          <w:szCs w:val="22"/>
          <w:lang w:eastAsia="en-US"/>
        </w:rPr>
        <w:t xml:space="preserve">deste artigo competência para decidir sobre os casos não contemplados neste Decreto, que sobre eles emitirá parecer. </w:t>
      </w:r>
    </w:p>
    <w:p w14:paraId="77904B84"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
    <w:p w14:paraId="75AE10BE" w14:textId="73836FFD" w:rsidR="00734F98" w:rsidRPr="00E25FEE" w:rsidRDefault="00734F98" w:rsidP="00356927">
      <w:pPr>
        <w:autoSpaceDE w:val="0"/>
        <w:autoSpaceDN w:val="0"/>
        <w:adjustRightInd w:val="0"/>
        <w:ind w:firstLine="1418"/>
        <w:jc w:val="both"/>
        <w:rPr>
          <w:rFonts w:ascii="Cambria" w:eastAsia="Calibri" w:hAnsi="Cambria" w:cs="Arial"/>
          <w:bCs/>
          <w:color w:val="000000"/>
          <w:sz w:val="22"/>
          <w:szCs w:val="22"/>
          <w:lang w:eastAsia="en-US"/>
        </w:rPr>
      </w:pPr>
      <w:r w:rsidRPr="00E25FEE">
        <w:rPr>
          <w:rFonts w:ascii="Cambria" w:eastAsia="Calibri" w:hAnsi="Cambria" w:cs="Arial"/>
          <w:color w:val="000000"/>
          <w:sz w:val="22"/>
          <w:szCs w:val="22"/>
          <w:lang w:eastAsia="en-US"/>
        </w:rPr>
        <w:t>Art. 21.</w:t>
      </w:r>
      <w:r w:rsidRPr="00E25FEE">
        <w:rPr>
          <w:rFonts w:ascii="Cambria" w:eastAsia="Calibri" w:hAnsi="Cambria" w:cs="Arial"/>
          <w:b/>
          <w:color w:val="000000"/>
          <w:sz w:val="22"/>
          <w:szCs w:val="22"/>
          <w:lang w:eastAsia="en-US"/>
        </w:rPr>
        <w:t xml:space="preserve"> </w:t>
      </w:r>
      <w:r w:rsidRPr="00E25FEE">
        <w:rPr>
          <w:rFonts w:ascii="Cambria" w:eastAsia="Calibri" w:hAnsi="Cambria" w:cs="Arial"/>
          <w:bCs/>
          <w:color w:val="000000"/>
          <w:sz w:val="22"/>
          <w:szCs w:val="22"/>
          <w:lang w:eastAsia="en-US"/>
        </w:rPr>
        <w:t>O servidor/</w:t>
      </w:r>
      <w:r w:rsidR="00867339">
        <w:rPr>
          <w:rFonts w:ascii="Cambria" w:eastAsia="Calibri" w:hAnsi="Cambria" w:cs="Arial"/>
          <w:bCs/>
          <w:color w:val="000000"/>
          <w:sz w:val="22"/>
          <w:szCs w:val="22"/>
          <w:lang w:eastAsia="en-US"/>
        </w:rPr>
        <w:t>setor</w:t>
      </w:r>
      <w:r w:rsidRPr="00E25FEE">
        <w:rPr>
          <w:rFonts w:ascii="Cambria" w:eastAsia="Calibri" w:hAnsi="Cambria" w:cs="Arial"/>
          <w:bCs/>
          <w:color w:val="000000"/>
          <w:sz w:val="22"/>
          <w:szCs w:val="22"/>
          <w:lang w:eastAsia="en-US"/>
        </w:rPr>
        <w:t xml:space="preserve"> responsável, que descumprir os prazos estabelecidos no Anexo I será responsabilizado pelas sanções e multas geradas em virtude dos respectivos atrasos.</w:t>
      </w:r>
    </w:p>
    <w:p w14:paraId="31C54ABA" w14:textId="77777777" w:rsidR="00734F98" w:rsidRPr="00E25FEE" w:rsidRDefault="00734F98" w:rsidP="00356927">
      <w:pPr>
        <w:autoSpaceDE w:val="0"/>
        <w:autoSpaceDN w:val="0"/>
        <w:adjustRightInd w:val="0"/>
        <w:jc w:val="both"/>
        <w:rPr>
          <w:rFonts w:ascii="Cambria" w:eastAsia="Calibri" w:hAnsi="Cambria" w:cs="Arial"/>
          <w:bCs/>
          <w:sz w:val="22"/>
          <w:szCs w:val="22"/>
          <w:lang w:eastAsia="en-US"/>
        </w:rPr>
      </w:pPr>
    </w:p>
    <w:p w14:paraId="78D0853A" w14:textId="77777777" w:rsidR="00734F98" w:rsidRPr="00E25FEE" w:rsidRDefault="00734F98" w:rsidP="00356927">
      <w:pPr>
        <w:ind w:firstLine="1418"/>
        <w:jc w:val="both"/>
        <w:rPr>
          <w:rFonts w:ascii="Cambria" w:eastAsia="Calibri" w:hAnsi="Cambria" w:cs="Arial"/>
          <w:sz w:val="22"/>
          <w:szCs w:val="22"/>
          <w:lang w:eastAsia="en-US"/>
        </w:rPr>
      </w:pPr>
      <w:r w:rsidRPr="00E25FEE">
        <w:rPr>
          <w:rFonts w:ascii="Cambria" w:eastAsia="Calibri" w:hAnsi="Cambria" w:cs="Arial"/>
          <w:sz w:val="22"/>
          <w:szCs w:val="22"/>
          <w:lang w:eastAsia="en-US"/>
        </w:rPr>
        <w:t>Art. 22.</w:t>
      </w:r>
      <w:r w:rsidRPr="00E25FEE">
        <w:rPr>
          <w:rFonts w:ascii="Cambria" w:eastAsia="Calibri" w:hAnsi="Cambria" w:cs="Arial"/>
          <w:b/>
          <w:sz w:val="22"/>
          <w:szCs w:val="22"/>
          <w:lang w:eastAsia="en-US"/>
        </w:rPr>
        <w:t xml:space="preserve"> </w:t>
      </w:r>
      <w:r w:rsidRPr="00E25FEE">
        <w:rPr>
          <w:rFonts w:ascii="Cambria" w:eastAsia="Calibri" w:hAnsi="Cambria" w:cs="Arial"/>
          <w:sz w:val="22"/>
          <w:szCs w:val="22"/>
          <w:lang w:eastAsia="en-US"/>
        </w:rPr>
        <w:t>Este Decreto entrará em vigor na data de sua publicação.</w:t>
      </w:r>
    </w:p>
    <w:p w14:paraId="72940318" w14:textId="77777777" w:rsidR="00734F98" w:rsidRPr="00E25FEE" w:rsidRDefault="00734F98" w:rsidP="00356927">
      <w:pPr>
        <w:jc w:val="both"/>
        <w:rPr>
          <w:rFonts w:ascii="Cambria" w:eastAsia="Calibri" w:hAnsi="Cambria" w:cs="Arial"/>
          <w:sz w:val="22"/>
          <w:szCs w:val="22"/>
          <w:lang w:eastAsia="en-US"/>
        </w:rPr>
      </w:pPr>
    </w:p>
    <w:p w14:paraId="5EFE5072" w14:textId="780D71F2" w:rsidR="00734F98" w:rsidRPr="00E25FEE" w:rsidRDefault="00734F98" w:rsidP="00356927">
      <w:pPr>
        <w:jc w:val="both"/>
        <w:rPr>
          <w:rFonts w:ascii="Cambria" w:eastAsia="Calibri" w:hAnsi="Cambria" w:cs="Arial"/>
          <w:sz w:val="22"/>
          <w:szCs w:val="22"/>
          <w:lang w:eastAsia="en-US"/>
        </w:rPr>
      </w:pPr>
    </w:p>
    <w:p w14:paraId="5D611CD9" w14:textId="77777777" w:rsidR="00734F98" w:rsidRPr="00E25FEE" w:rsidRDefault="00734F98" w:rsidP="00356927">
      <w:pPr>
        <w:jc w:val="center"/>
        <w:rPr>
          <w:rFonts w:ascii="Cambria" w:eastAsia="Calibri" w:hAnsi="Cambria" w:cs="Arial"/>
          <w:sz w:val="22"/>
          <w:szCs w:val="22"/>
          <w:lang w:eastAsia="en-US"/>
        </w:rPr>
      </w:pPr>
      <w:r w:rsidRPr="00E25FEE">
        <w:rPr>
          <w:rFonts w:ascii="Cambria" w:eastAsia="Calibri" w:hAnsi="Cambria" w:cs="Arial"/>
          <w:sz w:val="22"/>
          <w:szCs w:val="22"/>
          <w:lang w:eastAsia="en-US"/>
        </w:rPr>
        <w:t>Governo Municipal de Juara, Estado de Mato</w:t>
      </w:r>
    </w:p>
    <w:p w14:paraId="719C9F33" w14:textId="44F2C3B7" w:rsidR="00734F98" w:rsidRPr="00E25FEE" w:rsidRDefault="00867339" w:rsidP="00356927">
      <w:pPr>
        <w:jc w:val="center"/>
        <w:rPr>
          <w:rFonts w:ascii="Cambria" w:eastAsia="Calibri" w:hAnsi="Cambria" w:cs="Arial"/>
          <w:sz w:val="22"/>
          <w:szCs w:val="22"/>
          <w:lang w:eastAsia="en-US"/>
        </w:rPr>
      </w:pPr>
      <w:r>
        <w:rPr>
          <w:rFonts w:ascii="Cambria" w:eastAsia="Calibri" w:hAnsi="Cambria" w:cs="Arial"/>
          <w:sz w:val="22"/>
          <w:szCs w:val="22"/>
          <w:lang w:eastAsia="en-US"/>
        </w:rPr>
        <w:t>Grosso, 14</w:t>
      </w:r>
      <w:r w:rsidR="00734F98" w:rsidRPr="00E25FEE">
        <w:rPr>
          <w:rFonts w:ascii="Cambria" w:eastAsia="Calibri" w:hAnsi="Cambria" w:cs="Arial"/>
          <w:sz w:val="22"/>
          <w:szCs w:val="22"/>
          <w:lang w:eastAsia="en-US"/>
        </w:rPr>
        <w:t xml:space="preserve"> de novembro de 2025.</w:t>
      </w:r>
    </w:p>
    <w:p w14:paraId="209456B9" w14:textId="77777777" w:rsidR="00734F98" w:rsidRPr="00E25FEE" w:rsidRDefault="00734F98" w:rsidP="00356927">
      <w:pPr>
        <w:jc w:val="both"/>
        <w:rPr>
          <w:rFonts w:ascii="Cambria" w:eastAsia="Calibri" w:hAnsi="Cambria" w:cs="Arial"/>
          <w:sz w:val="22"/>
          <w:szCs w:val="22"/>
          <w:lang w:eastAsia="en-US"/>
        </w:rPr>
      </w:pPr>
      <w:r w:rsidRPr="00E25FEE">
        <w:rPr>
          <w:rFonts w:ascii="Cambria" w:eastAsia="Calibri" w:hAnsi="Cambria" w:cs="Arial"/>
          <w:sz w:val="22"/>
          <w:szCs w:val="22"/>
          <w:lang w:eastAsia="en-US"/>
        </w:rPr>
        <w:t> </w:t>
      </w:r>
    </w:p>
    <w:p w14:paraId="75CFBFF6" w14:textId="77777777" w:rsidR="00734F98" w:rsidRPr="00E25FEE" w:rsidRDefault="00734F98" w:rsidP="00356927">
      <w:pPr>
        <w:jc w:val="both"/>
        <w:rPr>
          <w:rFonts w:ascii="Cambria" w:eastAsia="Calibri" w:hAnsi="Cambria" w:cs="Arial"/>
          <w:sz w:val="22"/>
          <w:szCs w:val="22"/>
          <w:lang w:eastAsia="en-US"/>
        </w:rPr>
      </w:pPr>
    </w:p>
    <w:p w14:paraId="40933C60" w14:textId="0B458748" w:rsidR="00734F98" w:rsidRPr="00E25FEE" w:rsidRDefault="00734F98" w:rsidP="00356927">
      <w:pPr>
        <w:jc w:val="both"/>
        <w:rPr>
          <w:rFonts w:ascii="Cambria" w:eastAsia="Calibri" w:hAnsi="Cambria" w:cs="Arial"/>
          <w:sz w:val="22"/>
          <w:szCs w:val="22"/>
          <w:lang w:eastAsia="en-US"/>
        </w:rPr>
      </w:pPr>
    </w:p>
    <w:p w14:paraId="05638CFB" w14:textId="77777777" w:rsidR="00356927" w:rsidRPr="00E25FEE" w:rsidRDefault="00356927" w:rsidP="00356927">
      <w:pPr>
        <w:jc w:val="both"/>
        <w:rPr>
          <w:rFonts w:ascii="Cambria" w:eastAsia="Calibri" w:hAnsi="Cambria" w:cs="Arial"/>
          <w:sz w:val="22"/>
          <w:szCs w:val="22"/>
          <w:lang w:eastAsia="en-US"/>
        </w:rPr>
      </w:pPr>
    </w:p>
    <w:p w14:paraId="6B800258" w14:textId="77777777" w:rsidR="00734F98" w:rsidRPr="00E25FEE" w:rsidRDefault="00734F98" w:rsidP="00356927">
      <w:pPr>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Valdinei Holanda Moraes</w:t>
      </w:r>
    </w:p>
    <w:p w14:paraId="28E6D126" w14:textId="77777777" w:rsidR="00734F98" w:rsidRPr="00E25FEE" w:rsidRDefault="00734F98" w:rsidP="00356927">
      <w:pPr>
        <w:jc w:val="center"/>
        <w:rPr>
          <w:rFonts w:ascii="Cambria" w:eastAsia="Calibri" w:hAnsi="Cambria" w:cs="Arial"/>
          <w:sz w:val="22"/>
          <w:szCs w:val="22"/>
          <w:lang w:eastAsia="en-US"/>
        </w:rPr>
      </w:pPr>
      <w:r w:rsidRPr="00E25FEE">
        <w:rPr>
          <w:rFonts w:ascii="Cambria" w:eastAsia="Calibri" w:hAnsi="Cambria" w:cs="Arial"/>
          <w:sz w:val="22"/>
          <w:szCs w:val="22"/>
          <w:lang w:eastAsia="en-US"/>
        </w:rPr>
        <w:t>Prefeito do Município</w:t>
      </w:r>
    </w:p>
    <w:p w14:paraId="39F256ED" w14:textId="77777777" w:rsidR="00734F98" w:rsidRPr="00E25FEE" w:rsidRDefault="00734F98" w:rsidP="00356927">
      <w:pPr>
        <w:autoSpaceDE w:val="0"/>
        <w:autoSpaceDN w:val="0"/>
        <w:adjustRightInd w:val="0"/>
        <w:jc w:val="center"/>
        <w:rPr>
          <w:rFonts w:ascii="Cambria" w:eastAsia="Calibri" w:hAnsi="Cambria" w:cs="Arial"/>
          <w:b/>
          <w:bCs/>
          <w:sz w:val="22"/>
          <w:szCs w:val="22"/>
          <w:lang w:eastAsia="en-US"/>
        </w:rPr>
      </w:pPr>
    </w:p>
    <w:p w14:paraId="317228CF"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762CF24B"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65965043"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1F1B76DC"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685FCB02"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4E54C096"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11B794DE"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714B367C"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540D7743"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5AE1A9AA"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2ED956D0"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0C56346E"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0F460129"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2CFCD0DC"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6ED3ED05"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2A65B80C"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43BAAA06"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764C52D2" w14:textId="77777777" w:rsidR="00867339" w:rsidRDefault="00867339" w:rsidP="00356927">
      <w:pPr>
        <w:autoSpaceDE w:val="0"/>
        <w:autoSpaceDN w:val="0"/>
        <w:adjustRightInd w:val="0"/>
        <w:jc w:val="center"/>
        <w:rPr>
          <w:rFonts w:ascii="Cambria" w:eastAsia="Calibri" w:hAnsi="Cambria" w:cs="Arial"/>
          <w:b/>
          <w:bCs/>
          <w:sz w:val="22"/>
          <w:szCs w:val="22"/>
          <w:lang w:eastAsia="en-US"/>
        </w:rPr>
      </w:pPr>
    </w:p>
    <w:p w14:paraId="449CE522" w14:textId="5142448A"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lastRenderedPageBreak/>
        <w:t>Anexo I</w:t>
      </w:r>
    </w:p>
    <w:p w14:paraId="520F170D" w14:textId="38E8630C" w:rsidR="00734F98" w:rsidRPr="00E25FEE" w:rsidRDefault="00867339" w:rsidP="00356927">
      <w:pPr>
        <w:autoSpaceDE w:val="0"/>
        <w:autoSpaceDN w:val="0"/>
        <w:adjustRightInd w:val="0"/>
        <w:jc w:val="center"/>
        <w:rPr>
          <w:rFonts w:ascii="Cambria" w:eastAsia="Calibri" w:hAnsi="Cambria" w:cs="Arial"/>
          <w:sz w:val="22"/>
          <w:szCs w:val="22"/>
          <w:lang w:eastAsia="en-US"/>
        </w:rPr>
      </w:pPr>
      <w:r>
        <w:rPr>
          <w:rFonts w:ascii="Cambria" w:eastAsia="Calibri" w:hAnsi="Cambria" w:cs="Arial"/>
          <w:b/>
          <w:bCs/>
          <w:sz w:val="22"/>
          <w:szCs w:val="22"/>
          <w:lang w:eastAsia="en-US"/>
        </w:rPr>
        <w:t>Cronograma d</w:t>
      </w:r>
      <w:r w:rsidR="00734F98" w:rsidRPr="00E25FEE">
        <w:rPr>
          <w:rFonts w:ascii="Cambria" w:eastAsia="Calibri" w:hAnsi="Cambria" w:cs="Arial"/>
          <w:b/>
          <w:bCs/>
          <w:sz w:val="22"/>
          <w:szCs w:val="22"/>
          <w:lang w:eastAsia="en-US"/>
        </w:rPr>
        <w:t>e Atividades</w:t>
      </w:r>
    </w:p>
    <w:p w14:paraId="27F4356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tbl>
      <w:tblPr>
        <w:tblW w:w="9124" w:type="dxa"/>
        <w:jc w:val="center"/>
        <w:tblLayout w:type="fixed"/>
        <w:tblCellMar>
          <w:top w:w="57" w:type="dxa"/>
          <w:bottom w:w="57" w:type="dxa"/>
        </w:tblCellMar>
        <w:tblLook w:val="0000" w:firstRow="0" w:lastRow="0" w:firstColumn="0" w:lastColumn="0" w:noHBand="0" w:noVBand="0"/>
      </w:tblPr>
      <w:tblGrid>
        <w:gridCol w:w="567"/>
        <w:gridCol w:w="5665"/>
        <w:gridCol w:w="1649"/>
        <w:gridCol w:w="1243"/>
      </w:tblGrid>
      <w:tr w:rsidR="00734F98" w:rsidRPr="00E25FEE" w14:paraId="7ECF2E99" w14:textId="77777777" w:rsidTr="00867339">
        <w:trPr>
          <w:trHeight w:val="107"/>
          <w:tblHeader/>
          <w:jc w:val="center"/>
        </w:trPr>
        <w:tc>
          <w:tcPr>
            <w:tcW w:w="6232" w:type="dxa"/>
            <w:gridSpan w:val="2"/>
            <w:tcBorders>
              <w:top w:val="single" w:sz="4" w:space="0" w:color="000000"/>
              <w:left w:val="single" w:sz="4" w:space="0" w:color="000000"/>
              <w:bottom w:val="single" w:sz="4" w:space="0" w:color="000000"/>
            </w:tcBorders>
            <w:vAlign w:val="center"/>
          </w:tcPr>
          <w:p w14:paraId="5EB2590F"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Atividade</w:t>
            </w:r>
          </w:p>
        </w:tc>
        <w:tc>
          <w:tcPr>
            <w:tcW w:w="1649" w:type="dxa"/>
            <w:tcBorders>
              <w:top w:val="single" w:sz="4" w:space="0" w:color="000000"/>
              <w:left w:val="single" w:sz="4" w:space="0" w:color="000000"/>
              <w:bottom w:val="single" w:sz="4" w:space="0" w:color="000000"/>
            </w:tcBorders>
          </w:tcPr>
          <w:p w14:paraId="7B0F72B5" w14:textId="77777777" w:rsidR="00734F98" w:rsidRPr="00E25FEE" w:rsidRDefault="00734F98" w:rsidP="00356927">
            <w:pPr>
              <w:autoSpaceDE w:val="0"/>
              <w:autoSpaceDN w:val="0"/>
              <w:adjustRightInd w:val="0"/>
              <w:jc w:val="center"/>
              <w:rPr>
                <w:rFonts w:ascii="Cambria" w:eastAsia="Calibri" w:hAnsi="Cambria" w:cs="Arial"/>
                <w:b/>
                <w:bCs/>
                <w:sz w:val="22"/>
                <w:szCs w:val="22"/>
                <w:lang w:eastAsia="en-US"/>
              </w:rPr>
            </w:pPr>
            <w:r w:rsidRPr="00E25FEE">
              <w:rPr>
                <w:rFonts w:ascii="Cambria" w:eastAsia="Calibri" w:hAnsi="Cambria" w:cs="Arial"/>
                <w:b/>
                <w:bCs/>
                <w:sz w:val="22"/>
                <w:szCs w:val="22"/>
                <w:lang w:eastAsia="en-US"/>
              </w:rPr>
              <w:t>Setor Responsável</w:t>
            </w:r>
          </w:p>
        </w:tc>
        <w:tc>
          <w:tcPr>
            <w:tcW w:w="1243" w:type="dxa"/>
            <w:tcBorders>
              <w:top w:val="single" w:sz="4" w:space="0" w:color="000000"/>
              <w:left w:val="single" w:sz="4" w:space="0" w:color="000000"/>
              <w:bottom w:val="single" w:sz="4" w:space="0" w:color="000000"/>
              <w:right w:val="single" w:sz="4" w:space="0" w:color="000000"/>
            </w:tcBorders>
            <w:vAlign w:val="center"/>
          </w:tcPr>
          <w:p w14:paraId="1AB076E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b/>
                <w:bCs/>
                <w:sz w:val="22"/>
                <w:szCs w:val="22"/>
                <w:lang w:eastAsia="en-US"/>
              </w:rPr>
              <w:t>Data Final</w:t>
            </w:r>
          </w:p>
        </w:tc>
      </w:tr>
      <w:tr w:rsidR="00734F98" w:rsidRPr="00E25FEE" w14:paraId="41519765" w14:textId="77777777" w:rsidTr="00867339">
        <w:trPr>
          <w:trHeight w:val="109"/>
          <w:jc w:val="center"/>
        </w:trPr>
        <w:tc>
          <w:tcPr>
            <w:tcW w:w="567" w:type="dxa"/>
            <w:tcBorders>
              <w:top w:val="single" w:sz="4" w:space="0" w:color="000000"/>
              <w:left w:val="single" w:sz="4" w:space="0" w:color="000000"/>
              <w:bottom w:val="single" w:sz="4" w:space="0" w:color="000000"/>
            </w:tcBorders>
            <w:vAlign w:val="center"/>
          </w:tcPr>
          <w:p w14:paraId="6D3B8EE0"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20E52BC7" w14:textId="793FACE4"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realização de pedidos de itens/insumos necessário a execução dos serviços públicos no período de dezembro a 15/</w:t>
            </w:r>
            <w:proofErr w:type="spellStart"/>
            <w:r w:rsidRPr="00E25FEE">
              <w:rPr>
                <w:rFonts w:ascii="Cambria" w:eastAsia="Calibri" w:hAnsi="Cambria" w:cs="Arial"/>
                <w:sz w:val="22"/>
                <w:szCs w:val="22"/>
                <w:lang w:eastAsia="en-US"/>
              </w:rPr>
              <w:t>fev</w:t>
            </w:r>
            <w:proofErr w:type="spellEnd"/>
            <w:r w:rsidRPr="00E25FEE">
              <w:rPr>
                <w:rFonts w:ascii="Cambria" w:eastAsia="Calibri" w:hAnsi="Cambria" w:cs="Arial"/>
                <w:sz w:val="22"/>
                <w:szCs w:val="22"/>
                <w:lang w:eastAsia="en-US"/>
              </w:rPr>
              <w:t xml:space="preserve"> do próximo exercício, bem como o confronto da contabilização de </w:t>
            </w:r>
            <w:proofErr w:type="spellStart"/>
            <w:r w:rsidR="00356927" w:rsidRPr="00E25FEE">
              <w:rPr>
                <w:rFonts w:ascii="Cambria" w:eastAsia="Calibri" w:hAnsi="Cambria" w:cs="Arial"/>
                <w:sz w:val="22"/>
                <w:szCs w:val="22"/>
                <w:lang w:eastAsia="en-US"/>
              </w:rPr>
              <w:t>OFs</w:t>
            </w:r>
            <w:proofErr w:type="spellEnd"/>
            <w:r w:rsidRPr="00E25FEE">
              <w:rPr>
                <w:rFonts w:ascii="Cambria" w:eastAsia="Calibri" w:hAnsi="Cambria" w:cs="Arial"/>
                <w:sz w:val="22"/>
                <w:szCs w:val="22"/>
                <w:lang w:eastAsia="en-US"/>
              </w:rPr>
              <w:t xml:space="preserve"> junto ao setor contábil. </w:t>
            </w:r>
          </w:p>
        </w:tc>
        <w:tc>
          <w:tcPr>
            <w:tcW w:w="1649" w:type="dxa"/>
            <w:tcBorders>
              <w:top w:val="single" w:sz="4" w:space="0" w:color="000000"/>
              <w:left w:val="single" w:sz="4" w:space="0" w:color="000000"/>
              <w:bottom w:val="single" w:sz="4" w:space="0" w:color="000000"/>
            </w:tcBorders>
          </w:tcPr>
          <w:p w14:paraId="12CD2346"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62CEEDD3" w14:textId="08D2BEAA"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Compras</w:t>
            </w:r>
          </w:p>
        </w:tc>
        <w:tc>
          <w:tcPr>
            <w:tcW w:w="1243" w:type="dxa"/>
            <w:tcBorders>
              <w:top w:val="single" w:sz="4" w:space="0" w:color="000000"/>
              <w:left w:val="single" w:sz="4" w:space="0" w:color="000000"/>
              <w:bottom w:val="single" w:sz="4" w:space="0" w:color="000000"/>
              <w:right w:val="single" w:sz="4" w:space="0" w:color="000000"/>
            </w:tcBorders>
            <w:vAlign w:val="center"/>
          </w:tcPr>
          <w:p w14:paraId="378696BD" w14:textId="4E51B9E3" w:rsidR="00734F98" w:rsidRPr="00E25FEE" w:rsidRDefault="00DD57FF" w:rsidP="00356927">
            <w:pPr>
              <w:autoSpaceDE w:val="0"/>
              <w:autoSpaceDN w:val="0"/>
              <w:adjustRightInd w:val="0"/>
              <w:jc w:val="center"/>
              <w:rPr>
                <w:rFonts w:ascii="Cambria" w:eastAsia="Calibri" w:hAnsi="Cambria" w:cs="Arial"/>
                <w:sz w:val="22"/>
                <w:szCs w:val="22"/>
                <w:lang w:eastAsia="en-US"/>
              </w:rPr>
            </w:pPr>
            <w:r>
              <w:rPr>
                <w:rFonts w:ascii="Cambria" w:eastAsia="Calibri" w:hAnsi="Cambria" w:cs="Arial"/>
                <w:sz w:val="22"/>
                <w:szCs w:val="22"/>
                <w:lang w:eastAsia="en-US"/>
              </w:rPr>
              <w:t>05</w:t>
            </w:r>
            <w:bookmarkStart w:id="1" w:name="_GoBack"/>
            <w:bookmarkEnd w:id="1"/>
            <w:r w:rsidR="00734F98" w:rsidRPr="00E25FEE">
              <w:rPr>
                <w:rFonts w:ascii="Cambria" w:eastAsia="Calibri" w:hAnsi="Cambria" w:cs="Arial"/>
                <w:sz w:val="22"/>
                <w:szCs w:val="22"/>
                <w:lang w:eastAsia="en-US"/>
              </w:rPr>
              <w:t xml:space="preserve">/12  </w:t>
            </w:r>
          </w:p>
        </w:tc>
      </w:tr>
      <w:tr w:rsidR="00734F98" w:rsidRPr="00E25FEE" w14:paraId="70DCFC24" w14:textId="77777777" w:rsidTr="00867339">
        <w:trPr>
          <w:trHeight w:val="109"/>
          <w:jc w:val="center"/>
        </w:trPr>
        <w:tc>
          <w:tcPr>
            <w:tcW w:w="567" w:type="dxa"/>
            <w:tcBorders>
              <w:top w:val="single" w:sz="4" w:space="0" w:color="000000"/>
              <w:left w:val="single" w:sz="4" w:space="0" w:color="000000"/>
              <w:bottom w:val="single" w:sz="4" w:space="0" w:color="000000"/>
            </w:tcBorders>
            <w:vAlign w:val="center"/>
          </w:tcPr>
          <w:p w14:paraId="7229C326"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730714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emissão de nota de empenho</w:t>
            </w:r>
          </w:p>
        </w:tc>
        <w:tc>
          <w:tcPr>
            <w:tcW w:w="1649" w:type="dxa"/>
            <w:tcBorders>
              <w:top w:val="single" w:sz="4" w:space="0" w:color="000000"/>
              <w:left w:val="single" w:sz="4" w:space="0" w:color="000000"/>
              <w:bottom w:val="single" w:sz="4" w:space="0" w:color="000000"/>
            </w:tcBorders>
          </w:tcPr>
          <w:p w14:paraId="2875AC8C" w14:textId="44E97CC6"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456939D8"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22/12  </w:t>
            </w:r>
          </w:p>
        </w:tc>
      </w:tr>
      <w:tr w:rsidR="00734F98" w:rsidRPr="00E25FEE" w14:paraId="71F92A6E" w14:textId="77777777" w:rsidTr="00867339">
        <w:trPr>
          <w:trHeight w:val="109"/>
          <w:jc w:val="center"/>
        </w:trPr>
        <w:tc>
          <w:tcPr>
            <w:tcW w:w="567" w:type="dxa"/>
            <w:tcBorders>
              <w:top w:val="single" w:sz="4" w:space="0" w:color="000000"/>
              <w:left w:val="single" w:sz="4" w:space="0" w:color="000000"/>
              <w:bottom w:val="single" w:sz="4" w:space="0" w:color="000000"/>
            </w:tcBorders>
            <w:vAlign w:val="center"/>
          </w:tcPr>
          <w:p w14:paraId="68C1E7C3"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71E51940"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lançamentos contábeis de liquidação da despesa</w:t>
            </w:r>
          </w:p>
        </w:tc>
        <w:tc>
          <w:tcPr>
            <w:tcW w:w="1649" w:type="dxa"/>
            <w:tcBorders>
              <w:top w:val="single" w:sz="4" w:space="0" w:color="000000"/>
              <w:left w:val="single" w:sz="4" w:space="0" w:color="000000"/>
              <w:bottom w:val="single" w:sz="4" w:space="0" w:color="000000"/>
            </w:tcBorders>
          </w:tcPr>
          <w:p w14:paraId="7D069E4A" w14:textId="342744A4"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01F3686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30/12</w:t>
            </w:r>
          </w:p>
        </w:tc>
      </w:tr>
      <w:tr w:rsidR="00734F98" w:rsidRPr="00E25FEE" w14:paraId="4280F971" w14:textId="77777777" w:rsidTr="00867339">
        <w:trPr>
          <w:trHeight w:val="391"/>
          <w:jc w:val="center"/>
        </w:trPr>
        <w:tc>
          <w:tcPr>
            <w:tcW w:w="567" w:type="dxa"/>
            <w:tcBorders>
              <w:top w:val="single" w:sz="4" w:space="0" w:color="000000"/>
              <w:left w:val="single" w:sz="4" w:space="0" w:color="000000"/>
              <w:bottom w:val="single" w:sz="4" w:space="0" w:color="000000"/>
            </w:tcBorders>
            <w:vAlign w:val="center"/>
          </w:tcPr>
          <w:p w14:paraId="7EDDB732"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1AC9E60A"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Encaminhamento à contabilidade, pela Tesouraria, das prestações de contas de Suprimentos de Fundos, para fins de baixa da responsabilidade do agente suprido.</w:t>
            </w:r>
          </w:p>
        </w:tc>
        <w:tc>
          <w:tcPr>
            <w:tcW w:w="1649" w:type="dxa"/>
            <w:tcBorders>
              <w:top w:val="single" w:sz="4" w:space="0" w:color="000000"/>
              <w:left w:val="single" w:sz="4" w:space="0" w:color="000000"/>
              <w:bottom w:val="single" w:sz="4" w:space="0" w:color="000000"/>
            </w:tcBorders>
          </w:tcPr>
          <w:p w14:paraId="4E8ABE43"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3BB1E5C2" w14:textId="32AC14A7"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32C82004"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30/12</w:t>
            </w:r>
          </w:p>
        </w:tc>
      </w:tr>
      <w:tr w:rsidR="00734F98" w:rsidRPr="00E25FEE" w14:paraId="7520A506"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68EE4288"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177B5D7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Secretaria da Finanças enviar ao Setor de Contabilidade as informações necessárias para os registros de inscrições em restos a pagar processados e não processados, bem como os casos de prescrição, anulação ou cancelamento de empenhos.</w:t>
            </w:r>
          </w:p>
        </w:tc>
        <w:tc>
          <w:tcPr>
            <w:tcW w:w="1649" w:type="dxa"/>
            <w:tcBorders>
              <w:top w:val="single" w:sz="4" w:space="0" w:color="000000"/>
              <w:left w:val="single" w:sz="4" w:space="0" w:color="000000"/>
              <w:bottom w:val="single" w:sz="4" w:space="0" w:color="000000"/>
            </w:tcBorders>
          </w:tcPr>
          <w:p w14:paraId="72BE1E1C"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0295FDA1" w14:textId="2FDE13E0"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4F2FBADE"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30/12</w:t>
            </w:r>
          </w:p>
        </w:tc>
      </w:tr>
      <w:tr w:rsidR="00734F98" w:rsidRPr="00E25FEE" w14:paraId="301D557F"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0067C7E0"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286B970C" w14:textId="5C60221A" w:rsidR="00734F98" w:rsidRPr="00E25FEE" w:rsidRDefault="00356927"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w:t>
            </w:r>
            <w:r w:rsidR="00734F98" w:rsidRPr="00E25FEE">
              <w:rPr>
                <w:rFonts w:ascii="Cambria" w:eastAsia="Calibri" w:hAnsi="Cambria" w:cs="Arial"/>
                <w:sz w:val="22"/>
                <w:szCs w:val="22"/>
                <w:lang w:eastAsia="en-US"/>
              </w:rPr>
              <w:t>a limite para a Câmara Municipal restituir aos cofres do Município o saldo financeiro do exercício.</w:t>
            </w:r>
          </w:p>
        </w:tc>
        <w:tc>
          <w:tcPr>
            <w:tcW w:w="1649" w:type="dxa"/>
            <w:tcBorders>
              <w:top w:val="single" w:sz="4" w:space="0" w:color="000000"/>
              <w:left w:val="single" w:sz="4" w:space="0" w:color="000000"/>
              <w:bottom w:val="single" w:sz="4" w:space="0" w:color="000000"/>
            </w:tcBorders>
          </w:tcPr>
          <w:p w14:paraId="428E6374" w14:textId="5CE33F6E"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6B8A34E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30/12</w:t>
            </w:r>
          </w:p>
        </w:tc>
      </w:tr>
      <w:tr w:rsidR="00734F98" w:rsidRPr="00E25FEE" w14:paraId="52CD4A8E"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7065A41A"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065577C7"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cancelamento do saldo de Restos a Pagar Processados inscritos a mais de cinco anos, e não reclamado pelos respectivos credores.</w:t>
            </w:r>
          </w:p>
        </w:tc>
        <w:tc>
          <w:tcPr>
            <w:tcW w:w="1649" w:type="dxa"/>
            <w:tcBorders>
              <w:top w:val="single" w:sz="4" w:space="0" w:color="000000"/>
              <w:left w:val="single" w:sz="4" w:space="0" w:color="000000"/>
              <w:bottom w:val="single" w:sz="4" w:space="0" w:color="000000"/>
            </w:tcBorders>
          </w:tcPr>
          <w:p w14:paraId="17E0CA5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 Departamento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25C006B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30/12</w:t>
            </w:r>
          </w:p>
        </w:tc>
      </w:tr>
      <w:tr w:rsidR="00734F98" w:rsidRPr="00E25FEE" w14:paraId="3AFB85FF"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28B20167"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FECA1C3"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 Setor Tributário e Dívida Ativa encaminhe, por escrito, ao Setor de Contabilidade:</w:t>
            </w:r>
          </w:p>
          <w:p w14:paraId="44068B68"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a) os valores a Serem Inscritos na Dívida Ativa Tributária e Não Tributária do exercício, detalhados por Tributo e/ou Crédito;</w:t>
            </w:r>
          </w:p>
          <w:p w14:paraId="4A1EFF4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b) a posição do estoque da Dívida Ativa no final do último dia útil, detalhado por Tributo e/ou Crédito;</w:t>
            </w:r>
          </w:p>
          <w:p w14:paraId="22333EBA"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c) relação com o total das baixas da Dívida Ativa ocorridas no exercício, segregadas da seguinte forma:</w:t>
            </w:r>
          </w:p>
          <w:p w14:paraId="22FA1E7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-1) baixas pelo recebimento;</w:t>
            </w:r>
          </w:p>
          <w:p w14:paraId="706EA9B8"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-2) baixas pelos abatimentos ou anistias previstas legalmente;</w:t>
            </w:r>
          </w:p>
          <w:p w14:paraId="6071DB6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-3) baixas pelo cancelamento administrativo ou judicial da inscrição;</w:t>
            </w:r>
          </w:p>
          <w:p w14:paraId="0AFBA783"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-4) baixas por prescrição,</w:t>
            </w:r>
          </w:p>
          <w:p w14:paraId="735607EE"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-5) baixas por dação em pagamento e/ou adjudicação; e</w:t>
            </w:r>
          </w:p>
          <w:p w14:paraId="467B3045"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proofErr w:type="gramStart"/>
            <w:r w:rsidRPr="00E25FEE">
              <w:rPr>
                <w:rFonts w:ascii="Cambria" w:eastAsia="Calibri" w:hAnsi="Cambria" w:cs="Arial"/>
                <w:sz w:val="22"/>
                <w:szCs w:val="22"/>
                <w:lang w:eastAsia="en-US"/>
              </w:rPr>
              <w:t>c</w:t>
            </w:r>
            <w:proofErr w:type="gramEnd"/>
            <w:r w:rsidRPr="00E25FEE">
              <w:rPr>
                <w:rFonts w:ascii="Cambria" w:eastAsia="Calibri" w:hAnsi="Cambria" w:cs="Arial"/>
                <w:sz w:val="22"/>
                <w:szCs w:val="22"/>
                <w:lang w:eastAsia="en-US"/>
              </w:rPr>
              <w:t>-6) outras baixas eventualmente lançadas.</w:t>
            </w:r>
          </w:p>
          <w:p w14:paraId="7EF795D0"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 xml:space="preserve">d) ofício informando o desempenho da arrecadação em relação à previsão de todos os tributos da competência do Município, Destacando as providências adotadas para </w:t>
            </w:r>
            <w:r w:rsidRPr="00E25FEE">
              <w:rPr>
                <w:rFonts w:ascii="Cambria" w:eastAsia="Calibri" w:hAnsi="Cambria" w:cs="Arial"/>
                <w:sz w:val="22"/>
                <w:szCs w:val="22"/>
                <w:lang w:eastAsia="en-US"/>
              </w:rPr>
              <w:lastRenderedPageBreak/>
              <w:t xml:space="preserve">efeito de fiscalização das receitas e de combate à sonegação, bem como as demais medidas para incremento das receitas tributárias e de contribuições e as ações de recuperação de créditos nas instâncias administrativa e judicial, nos termos dos </w:t>
            </w:r>
            <w:proofErr w:type="spellStart"/>
            <w:r w:rsidRPr="00E25FEE">
              <w:rPr>
                <w:rFonts w:ascii="Cambria" w:eastAsia="Calibri" w:hAnsi="Cambria" w:cs="Arial"/>
                <w:sz w:val="22"/>
                <w:szCs w:val="22"/>
                <w:lang w:eastAsia="en-US"/>
              </w:rPr>
              <w:t>arts</w:t>
            </w:r>
            <w:proofErr w:type="spellEnd"/>
            <w:r w:rsidRPr="00E25FEE">
              <w:rPr>
                <w:rFonts w:ascii="Cambria" w:eastAsia="Calibri" w:hAnsi="Cambria" w:cs="Arial"/>
                <w:sz w:val="22"/>
                <w:szCs w:val="22"/>
                <w:lang w:eastAsia="en-US"/>
              </w:rPr>
              <w:t>. 13 e 58, da Lei Complementar n°101/2000;</w:t>
            </w:r>
          </w:p>
        </w:tc>
        <w:tc>
          <w:tcPr>
            <w:tcW w:w="1649" w:type="dxa"/>
            <w:tcBorders>
              <w:top w:val="single" w:sz="4" w:space="0" w:color="000000"/>
              <w:left w:val="single" w:sz="4" w:space="0" w:color="000000"/>
              <w:bottom w:val="single" w:sz="4" w:space="0" w:color="000000"/>
            </w:tcBorders>
          </w:tcPr>
          <w:p w14:paraId="7B3B4917"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C6FF35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42CF3525"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236A7EE"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5D526FC"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7D455CFF"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690D9F77"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4AAB89BF"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2775B92" w14:textId="53DF6B16" w:rsidR="00356927" w:rsidRPr="00E25FEE" w:rsidRDefault="00356927" w:rsidP="00356927">
            <w:pPr>
              <w:autoSpaceDE w:val="0"/>
              <w:autoSpaceDN w:val="0"/>
              <w:adjustRightInd w:val="0"/>
              <w:rPr>
                <w:rFonts w:ascii="Cambria" w:eastAsia="Calibri" w:hAnsi="Cambria" w:cs="Arial"/>
                <w:sz w:val="22"/>
                <w:szCs w:val="22"/>
                <w:lang w:eastAsia="en-US"/>
              </w:rPr>
            </w:pPr>
          </w:p>
          <w:p w14:paraId="1E011C75" w14:textId="52A07852"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Tributação</w:t>
            </w:r>
          </w:p>
        </w:tc>
        <w:tc>
          <w:tcPr>
            <w:tcW w:w="1243" w:type="dxa"/>
            <w:tcBorders>
              <w:top w:val="single" w:sz="4" w:space="0" w:color="000000"/>
              <w:left w:val="single" w:sz="4" w:space="0" w:color="000000"/>
              <w:bottom w:val="single" w:sz="4" w:space="0" w:color="000000"/>
              <w:right w:val="single" w:sz="4" w:space="0" w:color="000000"/>
            </w:tcBorders>
            <w:vAlign w:val="center"/>
          </w:tcPr>
          <w:p w14:paraId="5385AB05" w14:textId="77777777" w:rsidR="00356927" w:rsidRPr="00E25FEE" w:rsidRDefault="00356927" w:rsidP="00356927">
            <w:pPr>
              <w:autoSpaceDE w:val="0"/>
              <w:autoSpaceDN w:val="0"/>
              <w:adjustRightInd w:val="0"/>
              <w:jc w:val="center"/>
              <w:rPr>
                <w:rFonts w:ascii="Cambria" w:eastAsia="Calibri" w:hAnsi="Cambria" w:cs="Arial"/>
                <w:sz w:val="22"/>
                <w:szCs w:val="22"/>
                <w:lang w:eastAsia="en-US"/>
              </w:rPr>
            </w:pPr>
          </w:p>
          <w:p w14:paraId="7138486D" w14:textId="77777777" w:rsidR="00356927" w:rsidRPr="00E25FEE" w:rsidRDefault="00356927" w:rsidP="00356927">
            <w:pPr>
              <w:autoSpaceDE w:val="0"/>
              <w:autoSpaceDN w:val="0"/>
              <w:adjustRightInd w:val="0"/>
              <w:jc w:val="center"/>
              <w:rPr>
                <w:rFonts w:ascii="Cambria" w:eastAsia="Calibri" w:hAnsi="Cambria" w:cs="Arial"/>
                <w:sz w:val="22"/>
                <w:szCs w:val="22"/>
                <w:lang w:eastAsia="en-US"/>
              </w:rPr>
            </w:pPr>
          </w:p>
          <w:p w14:paraId="1BED588C" w14:textId="106FCA84" w:rsidR="00356927" w:rsidRPr="00E25FEE" w:rsidRDefault="00356927" w:rsidP="00356927">
            <w:pPr>
              <w:autoSpaceDE w:val="0"/>
              <w:autoSpaceDN w:val="0"/>
              <w:adjustRightInd w:val="0"/>
              <w:rPr>
                <w:rFonts w:ascii="Cambria" w:eastAsia="Calibri" w:hAnsi="Cambria" w:cs="Arial"/>
                <w:sz w:val="22"/>
                <w:szCs w:val="22"/>
                <w:lang w:eastAsia="en-US"/>
              </w:rPr>
            </w:pPr>
          </w:p>
          <w:p w14:paraId="3959E46E" w14:textId="77777777" w:rsidR="00356927" w:rsidRPr="00E25FEE" w:rsidRDefault="00356927" w:rsidP="00356927">
            <w:pPr>
              <w:autoSpaceDE w:val="0"/>
              <w:autoSpaceDN w:val="0"/>
              <w:adjustRightInd w:val="0"/>
              <w:jc w:val="center"/>
              <w:rPr>
                <w:rFonts w:ascii="Cambria" w:eastAsia="Calibri" w:hAnsi="Cambria" w:cs="Arial"/>
                <w:sz w:val="22"/>
                <w:szCs w:val="22"/>
                <w:lang w:eastAsia="en-US"/>
              </w:rPr>
            </w:pPr>
          </w:p>
          <w:p w14:paraId="2BAD8607" w14:textId="2666305B"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684619BA"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5E505E1A"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C36FCD0"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 Setor de Contratos e Licitações disponibilize ao setor contábil:</w:t>
            </w:r>
          </w:p>
          <w:p w14:paraId="748D8A95" w14:textId="77777777" w:rsidR="00734F98" w:rsidRPr="00E25FEE" w:rsidRDefault="00734F98" w:rsidP="00356927">
            <w:pPr>
              <w:numPr>
                <w:ilvl w:val="0"/>
                <w:numId w:val="23"/>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Relação de Contratos Encerrados no exercício.</w:t>
            </w:r>
          </w:p>
          <w:p w14:paraId="750A59DB" w14:textId="77777777" w:rsidR="00734F98" w:rsidRPr="00E25FEE" w:rsidRDefault="00734F98" w:rsidP="00356927">
            <w:pPr>
              <w:numPr>
                <w:ilvl w:val="0"/>
                <w:numId w:val="23"/>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 xml:space="preserve">Relação de Contratos Vigentes no Próximo Exercício com respectivos valores que estarão disponíveis para execução.  </w:t>
            </w:r>
          </w:p>
          <w:p w14:paraId="29261DC5" w14:textId="77777777" w:rsidR="00734F98" w:rsidRPr="00E25FEE" w:rsidRDefault="00734F98" w:rsidP="00356927">
            <w:pPr>
              <w:numPr>
                <w:ilvl w:val="0"/>
                <w:numId w:val="23"/>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Relatório de Licitações e Atas de Registro de Preço que passarão vigentes para o próximo exercício com respectivos valores para execução.</w:t>
            </w:r>
          </w:p>
        </w:tc>
        <w:tc>
          <w:tcPr>
            <w:tcW w:w="1649" w:type="dxa"/>
            <w:tcBorders>
              <w:top w:val="single" w:sz="4" w:space="0" w:color="000000"/>
              <w:left w:val="single" w:sz="4" w:space="0" w:color="000000"/>
              <w:bottom w:val="single" w:sz="4" w:space="0" w:color="000000"/>
            </w:tcBorders>
          </w:tcPr>
          <w:p w14:paraId="3650E81B"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4AEF6194" w14:textId="40061E02" w:rsidR="00356927" w:rsidRPr="00E25FEE" w:rsidRDefault="00356927" w:rsidP="00356927">
            <w:pPr>
              <w:autoSpaceDE w:val="0"/>
              <w:autoSpaceDN w:val="0"/>
              <w:adjustRightInd w:val="0"/>
              <w:rPr>
                <w:rFonts w:ascii="Cambria" w:eastAsia="Calibri" w:hAnsi="Cambria" w:cs="Arial"/>
                <w:sz w:val="22"/>
                <w:szCs w:val="22"/>
                <w:lang w:eastAsia="en-US"/>
              </w:rPr>
            </w:pPr>
          </w:p>
          <w:p w14:paraId="5D901C2C" w14:textId="77777777" w:rsidR="00356927" w:rsidRPr="00E25FEE" w:rsidRDefault="00356927" w:rsidP="00356927">
            <w:pPr>
              <w:autoSpaceDE w:val="0"/>
              <w:autoSpaceDN w:val="0"/>
              <w:adjustRightInd w:val="0"/>
              <w:rPr>
                <w:rFonts w:ascii="Cambria" w:eastAsia="Calibri" w:hAnsi="Cambria" w:cs="Arial"/>
                <w:sz w:val="22"/>
                <w:szCs w:val="22"/>
                <w:lang w:eastAsia="en-US"/>
              </w:rPr>
            </w:pPr>
          </w:p>
          <w:p w14:paraId="7BD9C4D1" w14:textId="181254D3"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de Contratos</w:t>
            </w:r>
          </w:p>
        </w:tc>
        <w:tc>
          <w:tcPr>
            <w:tcW w:w="1243" w:type="dxa"/>
            <w:tcBorders>
              <w:top w:val="single" w:sz="4" w:space="0" w:color="000000"/>
              <w:left w:val="single" w:sz="4" w:space="0" w:color="000000"/>
              <w:bottom w:val="single" w:sz="4" w:space="0" w:color="000000"/>
              <w:right w:val="single" w:sz="4" w:space="0" w:color="000000"/>
            </w:tcBorders>
            <w:vAlign w:val="center"/>
          </w:tcPr>
          <w:p w14:paraId="4E0671BC" w14:textId="7146B471" w:rsidR="00734F98" w:rsidRPr="00E25FEE" w:rsidRDefault="00734F98" w:rsidP="00356927">
            <w:pPr>
              <w:autoSpaceDE w:val="0"/>
              <w:autoSpaceDN w:val="0"/>
              <w:adjustRightInd w:val="0"/>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42E92794"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6455EC01"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F4BD0BB"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 Setor de Convênios disponibilize ao setor contábil:</w:t>
            </w:r>
          </w:p>
          <w:p w14:paraId="2A938521" w14:textId="77777777" w:rsidR="00734F98" w:rsidRPr="00E25FEE" w:rsidRDefault="00734F98" w:rsidP="00356927">
            <w:pPr>
              <w:numPr>
                <w:ilvl w:val="0"/>
                <w:numId w:val="23"/>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 xml:space="preserve">Relatório analítico contendo os valores de convênios a receber para o próximo exercício, saldos a comprovar, saldos a aprovar e saldos aprovados. </w:t>
            </w:r>
          </w:p>
        </w:tc>
        <w:tc>
          <w:tcPr>
            <w:tcW w:w="1649" w:type="dxa"/>
            <w:tcBorders>
              <w:top w:val="single" w:sz="4" w:space="0" w:color="000000"/>
              <w:left w:val="single" w:sz="4" w:space="0" w:color="000000"/>
              <w:bottom w:val="single" w:sz="4" w:space="0" w:color="000000"/>
            </w:tcBorders>
          </w:tcPr>
          <w:p w14:paraId="43703B67" w14:textId="0060EECF" w:rsidR="00356927" w:rsidRPr="00E25FEE" w:rsidRDefault="00356927" w:rsidP="00356927">
            <w:pPr>
              <w:autoSpaceDE w:val="0"/>
              <w:autoSpaceDN w:val="0"/>
              <w:adjustRightInd w:val="0"/>
              <w:rPr>
                <w:rFonts w:ascii="Cambria" w:eastAsia="Calibri" w:hAnsi="Cambria" w:cs="Arial"/>
                <w:sz w:val="22"/>
                <w:szCs w:val="22"/>
                <w:lang w:eastAsia="en-US"/>
              </w:rPr>
            </w:pPr>
          </w:p>
          <w:p w14:paraId="243A602D"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 de Convênios</w:t>
            </w:r>
          </w:p>
        </w:tc>
        <w:tc>
          <w:tcPr>
            <w:tcW w:w="1243" w:type="dxa"/>
            <w:tcBorders>
              <w:top w:val="single" w:sz="4" w:space="0" w:color="000000"/>
              <w:left w:val="single" w:sz="4" w:space="0" w:color="000000"/>
              <w:bottom w:val="single" w:sz="4" w:space="0" w:color="000000"/>
              <w:right w:val="single" w:sz="4" w:space="0" w:color="000000"/>
            </w:tcBorders>
            <w:vAlign w:val="center"/>
          </w:tcPr>
          <w:p w14:paraId="6E886467"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0180BD41"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5A418583"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05A01EC1"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6AC883B7" w14:textId="3DEB6E43"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 xml:space="preserve">Data limite para </w:t>
            </w:r>
            <w:r w:rsidR="00356927" w:rsidRPr="00E25FEE">
              <w:rPr>
                <w:rFonts w:ascii="Cambria" w:eastAsia="Calibri" w:hAnsi="Cambria" w:cs="Arial"/>
                <w:sz w:val="22"/>
                <w:szCs w:val="22"/>
                <w:lang w:eastAsia="en-US"/>
              </w:rPr>
              <w:t>o</w:t>
            </w:r>
            <w:r w:rsidRPr="00E25FEE">
              <w:rPr>
                <w:rFonts w:ascii="Cambria" w:eastAsia="Calibri" w:hAnsi="Cambria" w:cs="Arial"/>
                <w:sz w:val="22"/>
                <w:szCs w:val="22"/>
                <w:lang w:eastAsia="en-US"/>
              </w:rPr>
              <w:t xml:space="preserve"> setor responsável por folha de pagamento e recursos humanos disponibilize ao setor contábil:</w:t>
            </w:r>
          </w:p>
          <w:p w14:paraId="2971E6C3" w14:textId="77777777" w:rsidR="00734F98" w:rsidRPr="00E25FEE" w:rsidRDefault="00734F98" w:rsidP="00356927">
            <w:pPr>
              <w:numPr>
                <w:ilvl w:val="0"/>
                <w:numId w:val="24"/>
              </w:numPr>
              <w:suppressAutoHyphens/>
              <w:ind w:left="125" w:hanging="142"/>
              <w:jc w:val="both"/>
              <w:rPr>
                <w:rFonts w:ascii="Cambria" w:eastAsia="Calibri" w:hAnsi="Cambria" w:cs="Arial"/>
                <w:sz w:val="22"/>
                <w:szCs w:val="22"/>
                <w:lang w:eastAsia="en-US"/>
              </w:rPr>
            </w:pPr>
            <w:r w:rsidRPr="00E25FEE">
              <w:rPr>
                <w:rFonts w:ascii="Cambria" w:eastAsia="Calibri" w:hAnsi="Cambria" w:cs="Arial"/>
                <w:sz w:val="22"/>
                <w:szCs w:val="22"/>
                <w:lang w:eastAsia="en-US"/>
              </w:rPr>
              <w:t>Relatório com Provisão de Férias e Encargos Sociais para o próximo exercício;</w:t>
            </w:r>
          </w:p>
          <w:p w14:paraId="11AE943E" w14:textId="77777777" w:rsidR="00734F98" w:rsidRPr="00E25FEE" w:rsidRDefault="00734F98" w:rsidP="00356927">
            <w:pPr>
              <w:numPr>
                <w:ilvl w:val="0"/>
                <w:numId w:val="24"/>
              </w:numPr>
              <w:suppressAutoHyphens/>
              <w:ind w:left="125" w:hanging="142"/>
              <w:jc w:val="both"/>
              <w:rPr>
                <w:rFonts w:ascii="Cambria" w:eastAsia="Calibri" w:hAnsi="Cambria" w:cs="Arial"/>
                <w:sz w:val="22"/>
                <w:szCs w:val="22"/>
                <w:lang w:eastAsia="en-US"/>
              </w:rPr>
            </w:pPr>
            <w:r w:rsidRPr="00E25FEE">
              <w:rPr>
                <w:rFonts w:ascii="Cambria" w:eastAsia="Calibri" w:hAnsi="Cambria" w:cs="Arial"/>
                <w:sz w:val="22"/>
                <w:szCs w:val="22"/>
                <w:lang w:eastAsia="en-US"/>
              </w:rPr>
              <w:t>Relatório com a Provisão de Férias e Encargos Sociais utilizadas no exercício;</w:t>
            </w:r>
          </w:p>
        </w:tc>
        <w:tc>
          <w:tcPr>
            <w:tcW w:w="1649" w:type="dxa"/>
            <w:tcBorders>
              <w:top w:val="single" w:sz="4" w:space="0" w:color="000000"/>
              <w:left w:val="single" w:sz="4" w:space="0" w:color="000000"/>
              <w:bottom w:val="single" w:sz="4" w:space="0" w:color="000000"/>
            </w:tcBorders>
          </w:tcPr>
          <w:p w14:paraId="7179DA5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6ABA81A3"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100C4D6B" w14:textId="653FFA64" w:rsidR="00734F98" w:rsidRPr="00E25FEE" w:rsidRDefault="00867339" w:rsidP="00867339">
            <w:pPr>
              <w:autoSpaceDE w:val="0"/>
              <w:autoSpaceDN w:val="0"/>
              <w:adjustRightInd w:val="0"/>
              <w:jc w:val="center"/>
              <w:rPr>
                <w:rFonts w:ascii="Cambria" w:eastAsia="Calibri" w:hAnsi="Cambria" w:cs="Arial"/>
                <w:sz w:val="22"/>
                <w:szCs w:val="22"/>
                <w:lang w:eastAsia="en-US"/>
              </w:rPr>
            </w:pPr>
            <w:r>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Recursos Humanos</w:t>
            </w:r>
          </w:p>
        </w:tc>
        <w:tc>
          <w:tcPr>
            <w:tcW w:w="1243" w:type="dxa"/>
            <w:tcBorders>
              <w:top w:val="single" w:sz="4" w:space="0" w:color="000000"/>
              <w:left w:val="single" w:sz="4" w:space="0" w:color="000000"/>
              <w:bottom w:val="single" w:sz="4" w:space="0" w:color="000000"/>
              <w:right w:val="single" w:sz="4" w:space="0" w:color="000000"/>
            </w:tcBorders>
            <w:vAlign w:val="center"/>
          </w:tcPr>
          <w:p w14:paraId="4302B75F"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0746C1A2"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1EABCFCE"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04FC3D0"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levantamento de possíveis recursos recebidos na forma de adiantamento e diárias com pendências de prestação de contas, para que sejam regularizados dentro do exercício.</w:t>
            </w:r>
          </w:p>
        </w:tc>
        <w:tc>
          <w:tcPr>
            <w:tcW w:w="1649" w:type="dxa"/>
            <w:tcBorders>
              <w:top w:val="single" w:sz="4" w:space="0" w:color="000000"/>
              <w:left w:val="single" w:sz="4" w:space="0" w:color="000000"/>
              <w:bottom w:val="single" w:sz="4" w:space="0" w:color="000000"/>
            </w:tcBorders>
          </w:tcPr>
          <w:p w14:paraId="4F17E252"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625242DF" w14:textId="226704D3"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08DC521C"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19/12 </w:t>
            </w:r>
          </w:p>
        </w:tc>
      </w:tr>
      <w:tr w:rsidR="00734F98" w:rsidRPr="00E25FEE" w14:paraId="04B8E203"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407F25F0"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68DF49F7" w14:textId="68311478"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entrega ao setor contábil</w:t>
            </w:r>
            <w:r w:rsidR="00356927" w:rsidRPr="00E25FEE">
              <w:rPr>
                <w:rFonts w:ascii="Cambria" w:eastAsia="Calibri" w:hAnsi="Cambria" w:cs="Arial"/>
                <w:sz w:val="22"/>
                <w:szCs w:val="22"/>
                <w:lang w:eastAsia="en-US"/>
              </w:rPr>
              <w:t xml:space="preserve"> </w:t>
            </w:r>
            <w:r w:rsidRPr="00E25FEE">
              <w:rPr>
                <w:rFonts w:ascii="Cambria" w:eastAsia="Calibri" w:hAnsi="Cambria" w:cs="Arial"/>
                <w:sz w:val="22"/>
                <w:szCs w:val="22"/>
                <w:lang w:eastAsia="en-US"/>
              </w:rPr>
              <w:t>/</w:t>
            </w:r>
            <w:r w:rsidR="00356927" w:rsidRPr="00E25FEE">
              <w:rPr>
                <w:rFonts w:ascii="Cambria" w:eastAsia="Calibri" w:hAnsi="Cambria" w:cs="Arial"/>
                <w:sz w:val="22"/>
                <w:szCs w:val="22"/>
                <w:lang w:eastAsia="en-US"/>
              </w:rPr>
              <w:t xml:space="preserve"> planejamento</w:t>
            </w:r>
            <w:r w:rsidRPr="00E25FEE">
              <w:rPr>
                <w:rFonts w:ascii="Cambria" w:eastAsia="Calibri" w:hAnsi="Cambria" w:cs="Arial"/>
                <w:sz w:val="22"/>
                <w:szCs w:val="22"/>
                <w:lang w:eastAsia="en-US"/>
              </w:rPr>
              <w:t>, pelo setor responsável de:</w:t>
            </w:r>
          </w:p>
          <w:p w14:paraId="59258A81" w14:textId="77777777" w:rsidR="00734F98" w:rsidRPr="00E25FEE" w:rsidRDefault="00734F98" w:rsidP="00356927">
            <w:pPr>
              <w:numPr>
                <w:ilvl w:val="0"/>
                <w:numId w:val="26"/>
              </w:numPr>
              <w:suppressAutoHyphens/>
              <w:ind w:left="125" w:hanging="142"/>
              <w:jc w:val="both"/>
              <w:rPr>
                <w:rFonts w:ascii="Cambria" w:eastAsia="Calibri" w:hAnsi="Cambria" w:cs="Arial"/>
                <w:sz w:val="22"/>
                <w:szCs w:val="22"/>
                <w:lang w:eastAsia="en-US"/>
              </w:rPr>
            </w:pPr>
            <w:r w:rsidRPr="00E25FEE">
              <w:rPr>
                <w:rFonts w:ascii="Cambria" w:eastAsia="Calibri" w:hAnsi="Cambria" w:cs="Arial"/>
                <w:sz w:val="22"/>
                <w:szCs w:val="22"/>
                <w:lang w:eastAsia="en-US"/>
              </w:rPr>
              <w:t>Relação das obras em andamento concluídas no exercício e respectivos empenhos e todos os dados para incorporação do imóvel ao patrimônio, tais como:  endereço da obra, quadra, lote, bairro, coordenadas geográficas, no caso de predial informar a matricula do imóvel junto ao cartório de registro de imóveis, área total da construção ou tratando-se de obra de infraestrutura como drenagem e pavimentação asfáltica, recuperação de estradas, pontes, a extensão total da obra ex. (km, MT e outros).</w:t>
            </w:r>
          </w:p>
          <w:p w14:paraId="103F67C9" w14:textId="77777777" w:rsidR="00734F98" w:rsidRPr="00E25FEE" w:rsidRDefault="00734F98" w:rsidP="00356927">
            <w:pPr>
              <w:numPr>
                <w:ilvl w:val="0"/>
                <w:numId w:val="26"/>
              </w:numPr>
              <w:suppressAutoHyphens/>
              <w:ind w:left="125" w:hanging="142"/>
              <w:jc w:val="both"/>
              <w:rPr>
                <w:rFonts w:ascii="Cambria" w:eastAsia="Calibri" w:hAnsi="Cambria" w:cs="Arial"/>
                <w:sz w:val="22"/>
                <w:szCs w:val="22"/>
                <w:lang w:eastAsia="en-US"/>
              </w:rPr>
            </w:pPr>
            <w:r w:rsidRPr="00E25FEE">
              <w:rPr>
                <w:rFonts w:ascii="Cambria" w:eastAsia="Calibri" w:hAnsi="Cambria" w:cs="Arial"/>
                <w:sz w:val="22"/>
                <w:szCs w:val="22"/>
                <w:lang w:eastAsia="en-US"/>
              </w:rPr>
              <w:t>Relação das obras que continuarão em andamento no próximo exercício e respectivos empenhos.</w:t>
            </w:r>
          </w:p>
        </w:tc>
        <w:tc>
          <w:tcPr>
            <w:tcW w:w="1649" w:type="dxa"/>
            <w:tcBorders>
              <w:top w:val="single" w:sz="4" w:space="0" w:color="000000"/>
              <w:left w:val="single" w:sz="4" w:space="0" w:color="000000"/>
              <w:bottom w:val="single" w:sz="4" w:space="0" w:color="000000"/>
            </w:tcBorders>
          </w:tcPr>
          <w:p w14:paraId="6B7D333A" w14:textId="1B7E619D" w:rsidR="00734F98" w:rsidRDefault="00734F98" w:rsidP="00356927">
            <w:pPr>
              <w:autoSpaceDE w:val="0"/>
              <w:autoSpaceDN w:val="0"/>
              <w:adjustRightInd w:val="0"/>
              <w:jc w:val="center"/>
              <w:rPr>
                <w:rFonts w:ascii="Cambria" w:eastAsia="Calibri" w:hAnsi="Cambria" w:cs="Arial"/>
                <w:sz w:val="22"/>
                <w:szCs w:val="22"/>
                <w:lang w:eastAsia="en-US"/>
              </w:rPr>
            </w:pPr>
          </w:p>
          <w:p w14:paraId="5A739781" w14:textId="74C5D5F6" w:rsidR="00867339" w:rsidRDefault="00867339" w:rsidP="00356927">
            <w:pPr>
              <w:autoSpaceDE w:val="0"/>
              <w:autoSpaceDN w:val="0"/>
              <w:adjustRightInd w:val="0"/>
              <w:jc w:val="center"/>
              <w:rPr>
                <w:rFonts w:ascii="Cambria" w:eastAsia="Calibri" w:hAnsi="Cambria" w:cs="Arial"/>
                <w:sz w:val="22"/>
                <w:szCs w:val="22"/>
                <w:lang w:eastAsia="en-US"/>
              </w:rPr>
            </w:pPr>
          </w:p>
          <w:p w14:paraId="64AE4576" w14:textId="54FF0CE8" w:rsidR="00867339" w:rsidRDefault="00867339" w:rsidP="00356927">
            <w:pPr>
              <w:autoSpaceDE w:val="0"/>
              <w:autoSpaceDN w:val="0"/>
              <w:adjustRightInd w:val="0"/>
              <w:jc w:val="center"/>
              <w:rPr>
                <w:rFonts w:ascii="Cambria" w:eastAsia="Calibri" w:hAnsi="Cambria" w:cs="Arial"/>
                <w:sz w:val="22"/>
                <w:szCs w:val="22"/>
                <w:lang w:eastAsia="en-US"/>
              </w:rPr>
            </w:pPr>
          </w:p>
          <w:p w14:paraId="25E22FA2" w14:textId="2DFDB93D" w:rsidR="00867339" w:rsidRPr="00E25FEE" w:rsidRDefault="00867339" w:rsidP="00867339">
            <w:pPr>
              <w:autoSpaceDE w:val="0"/>
              <w:autoSpaceDN w:val="0"/>
              <w:adjustRightInd w:val="0"/>
              <w:rPr>
                <w:rFonts w:ascii="Cambria" w:eastAsia="Calibri" w:hAnsi="Cambria" w:cs="Arial"/>
                <w:sz w:val="22"/>
                <w:szCs w:val="22"/>
                <w:lang w:eastAsia="en-US"/>
              </w:rPr>
            </w:pPr>
          </w:p>
          <w:p w14:paraId="7EE4C4B7" w14:textId="53A6EC10" w:rsidR="00734F98" w:rsidRPr="00E25FEE" w:rsidRDefault="00734F98" w:rsidP="00356927">
            <w:pPr>
              <w:autoSpaceDE w:val="0"/>
              <w:autoSpaceDN w:val="0"/>
              <w:adjustRightInd w:val="0"/>
              <w:rPr>
                <w:rFonts w:ascii="Cambria" w:eastAsia="Calibri" w:hAnsi="Cambria" w:cs="Arial"/>
                <w:sz w:val="22"/>
                <w:szCs w:val="22"/>
                <w:lang w:eastAsia="en-US"/>
              </w:rPr>
            </w:pPr>
          </w:p>
          <w:p w14:paraId="295BA99A" w14:textId="66478850"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Engenharia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3C863C02" w14:textId="097F90A1"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09</w:t>
            </w:r>
            <w:r w:rsidR="00734F98" w:rsidRPr="00E25FEE">
              <w:rPr>
                <w:rFonts w:ascii="Cambria" w:eastAsia="Calibri" w:hAnsi="Cambria" w:cs="Arial"/>
                <w:sz w:val="22"/>
                <w:szCs w:val="22"/>
                <w:lang w:eastAsia="en-US"/>
              </w:rPr>
              <w:t>/01 (do exercício seguinte)</w:t>
            </w:r>
          </w:p>
        </w:tc>
      </w:tr>
      <w:tr w:rsidR="00734F98" w:rsidRPr="00E25FEE" w14:paraId="3DFD3EEC"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43C332EE"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3285A3E3"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emissão do Boletim de Tesouraria do último dia útil do exercício.</w:t>
            </w:r>
          </w:p>
        </w:tc>
        <w:tc>
          <w:tcPr>
            <w:tcW w:w="1649" w:type="dxa"/>
            <w:tcBorders>
              <w:top w:val="single" w:sz="4" w:space="0" w:color="000000"/>
              <w:left w:val="single" w:sz="4" w:space="0" w:color="000000"/>
              <w:bottom w:val="single" w:sz="4" w:space="0" w:color="000000"/>
            </w:tcBorders>
          </w:tcPr>
          <w:p w14:paraId="4BED039F" w14:textId="6E1C5CE8"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5EB0C187" w14:textId="39C8DEDA"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16</w:t>
            </w:r>
            <w:r w:rsidR="00734F98" w:rsidRPr="00E25FEE">
              <w:rPr>
                <w:rFonts w:ascii="Cambria" w:eastAsia="Calibri" w:hAnsi="Cambria" w:cs="Arial"/>
                <w:sz w:val="22"/>
                <w:szCs w:val="22"/>
                <w:lang w:eastAsia="en-US"/>
              </w:rPr>
              <w:t>/01 (do exercício seguinte)</w:t>
            </w:r>
          </w:p>
        </w:tc>
      </w:tr>
      <w:tr w:rsidR="00734F98" w:rsidRPr="00E25FEE" w14:paraId="1C992232"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3763A646"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04EE8A4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disponibilização do orçamento do exercício seguinte no sistema para fins de registro dos atos e fatos relacionados à execução orçamentária da receita e da despesa.</w:t>
            </w:r>
          </w:p>
        </w:tc>
        <w:tc>
          <w:tcPr>
            <w:tcW w:w="1649" w:type="dxa"/>
            <w:tcBorders>
              <w:top w:val="single" w:sz="4" w:space="0" w:color="000000"/>
              <w:left w:val="single" w:sz="4" w:space="0" w:color="000000"/>
              <w:bottom w:val="single" w:sz="4" w:space="0" w:color="000000"/>
            </w:tcBorders>
          </w:tcPr>
          <w:p w14:paraId="4E3C484C"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79AE5868" w14:textId="6E32F1ED"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Contábil</w:t>
            </w:r>
          </w:p>
        </w:tc>
        <w:tc>
          <w:tcPr>
            <w:tcW w:w="1243" w:type="dxa"/>
            <w:tcBorders>
              <w:top w:val="single" w:sz="4" w:space="0" w:color="000000"/>
              <w:left w:val="single" w:sz="4" w:space="0" w:color="000000"/>
              <w:bottom w:val="single" w:sz="4" w:space="0" w:color="000000"/>
              <w:right w:val="single" w:sz="4" w:space="0" w:color="000000"/>
            </w:tcBorders>
            <w:vAlign w:val="center"/>
          </w:tcPr>
          <w:p w14:paraId="308294F4" w14:textId="61ADB672"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16</w:t>
            </w:r>
            <w:r w:rsidR="00734F98" w:rsidRPr="00E25FEE">
              <w:rPr>
                <w:rFonts w:ascii="Cambria" w:eastAsia="Calibri" w:hAnsi="Cambria" w:cs="Arial"/>
                <w:sz w:val="22"/>
                <w:szCs w:val="22"/>
                <w:lang w:eastAsia="en-US"/>
              </w:rPr>
              <w:t>/01 (do exercício seguinte)</w:t>
            </w:r>
          </w:p>
        </w:tc>
      </w:tr>
      <w:tr w:rsidR="00734F98" w:rsidRPr="00E25FEE" w14:paraId="5253EAD9" w14:textId="77777777" w:rsidTr="00867339">
        <w:trPr>
          <w:trHeight w:val="253"/>
          <w:jc w:val="center"/>
        </w:trPr>
        <w:tc>
          <w:tcPr>
            <w:tcW w:w="567" w:type="dxa"/>
            <w:tcBorders>
              <w:top w:val="single" w:sz="4" w:space="0" w:color="000000"/>
              <w:left w:val="single" w:sz="4" w:space="0" w:color="000000"/>
              <w:bottom w:val="single" w:sz="4" w:space="0" w:color="000000"/>
            </w:tcBorders>
            <w:vAlign w:val="center"/>
          </w:tcPr>
          <w:p w14:paraId="39C18B91"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5114046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Tesouraria realizar o levantamento dos saldos a recolher no movimento extra orçamentário, conciliando em especial possíveis depósitos oriundos de consignação de impostos retidos na fonte, com possíveis saldos de lançamentos efetuados em nome do município junto ao setor de tributos.</w:t>
            </w:r>
          </w:p>
        </w:tc>
        <w:tc>
          <w:tcPr>
            <w:tcW w:w="1649" w:type="dxa"/>
            <w:tcBorders>
              <w:top w:val="single" w:sz="4" w:space="0" w:color="000000"/>
              <w:left w:val="single" w:sz="4" w:space="0" w:color="000000"/>
              <w:bottom w:val="single" w:sz="4" w:space="0" w:color="000000"/>
            </w:tcBorders>
          </w:tcPr>
          <w:p w14:paraId="07F8DAC1"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70ECC599"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46657438" w14:textId="46686E77"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3D286914"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266ADD32" w14:textId="77777777" w:rsidTr="00867339">
        <w:trPr>
          <w:trHeight w:val="529"/>
          <w:jc w:val="center"/>
        </w:trPr>
        <w:tc>
          <w:tcPr>
            <w:tcW w:w="567" w:type="dxa"/>
            <w:tcBorders>
              <w:top w:val="single" w:sz="4" w:space="0" w:color="000000"/>
              <w:left w:val="single" w:sz="4" w:space="0" w:color="000000"/>
              <w:bottom w:val="single" w:sz="4" w:space="0" w:color="000000"/>
            </w:tcBorders>
            <w:vAlign w:val="center"/>
          </w:tcPr>
          <w:p w14:paraId="786564B7"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64D5B12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os fiscais de contrato elaborem Relatório de Acompanhamento dos Contratos executados no exercício e as respectivas notificações e providências.</w:t>
            </w:r>
          </w:p>
        </w:tc>
        <w:tc>
          <w:tcPr>
            <w:tcW w:w="1649" w:type="dxa"/>
            <w:tcBorders>
              <w:top w:val="single" w:sz="4" w:space="0" w:color="000000"/>
              <w:left w:val="single" w:sz="4" w:space="0" w:color="000000"/>
              <w:bottom w:val="single" w:sz="4" w:space="0" w:color="000000"/>
            </w:tcBorders>
          </w:tcPr>
          <w:p w14:paraId="135EB7F2" w14:textId="77777777" w:rsidR="00356927" w:rsidRPr="00E25FEE" w:rsidRDefault="00356927" w:rsidP="00356927">
            <w:pPr>
              <w:autoSpaceDE w:val="0"/>
              <w:autoSpaceDN w:val="0"/>
              <w:adjustRightInd w:val="0"/>
              <w:jc w:val="center"/>
              <w:rPr>
                <w:rFonts w:ascii="Cambria" w:eastAsia="Calibri" w:hAnsi="Cambria" w:cs="Arial"/>
                <w:sz w:val="22"/>
                <w:szCs w:val="22"/>
                <w:lang w:eastAsia="en-US"/>
              </w:rPr>
            </w:pPr>
          </w:p>
          <w:p w14:paraId="74FAC603" w14:textId="25AA5A80"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de Contratos</w:t>
            </w:r>
          </w:p>
        </w:tc>
        <w:tc>
          <w:tcPr>
            <w:tcW w:w="1243" w:type="dxa"/>
            <w:tcBorders>
              <w:top w:val="single" w:sz="4" w:space="0" w:color="000000"/>
              <w:left w:val="single" w:sz="4" w:space="0" w:color="000000"/>
              <w:bottom w:val="single" w:sz="4" w:space="0" w:color="000000"/>
              <w:right w:val="single" w:sz="4" w:space="0" w:color="000000"/>
            </w:tcBorders>
            <w:vAlign w:val="center"/>
          </w:tcPr>
          <w:p w14:paraId="538B69E8"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15/01 (do exercício seguinte)</w:t>
            </w:r>
          </w:p>
        </w:tc>
      </w:tr>
      <w:tr w:rsidR="00734F98" w:rsidRPr="00E25FEE" w14:paraId="29474779" w14:textId="77777777" w:rsidTr="00867339">
        <w:trPr>
          <w:trHeight w:val="529"/>
          <w:jc w:val="center"/>
        </w:trPr>
        <w:tc>
          <w:tcPr>
            <w:tcW w:w="567" w:type="dxa"/>
            <w:tcBorders>
              <w:top w:val="single" w:sz="4" w:space="0" w:color="000000"/>
              <w:left w:val="single" w:sz="4" w:space="0" w:color="000000"/>
              <w:bottom w:val="single" w:sz="4" w:space="0" w:color="000000"/>
            </w:tcBorders>
            <w:vAlign w:val="center"/>
          </w:tcPr>
          <w:p w14:paraId="6CB4A0ED"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688E952A"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os setores responsáveis disponibilizem ao setor contábil:</w:t>
            </w:r>
          </w:p>
          <w:p w14:paraId="40FD49D8" w14:textId="77777777" w:rsidR="00734F98" w:rsidRPr="00E25FEE" w:rsidRDefault="00734F98" w:rsidP="00356927">
            <w:pPr>
              <w:numPr>
                <w:ilvl w:val="0"/>
                <w:numId w:val="25"/>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Relatório de saldos disponíveis físico/financeiro em Almoxarifados / Farmácia.</w:t>
            </w:r>
          </w:p>
          <w:p w14:paraId="5006B849" w14:textId="77777777" w:rsidR="00734F98" w:rsidRPr="00E25FEE" w:rsidRDefault="00734F98" w:rsidP="00356927">
            <w:pPr>
              <w:numPr>
                <w:ilvl w:val="0"/>
                <w:numId w:val="25"/>
              </w:numPr>
              <w:suppressAutoHyphens/>
              <w:ind w:left="125" w:hanging="125"/>
              <w:jc w:val="both"/>
              <w:rPr>
                <w:rFonts w:ascii="Cambria" w:eastAsia="Calibri" w:hAnsi="Cambria" w:cs="Arial"/>
                <w:sz w:val="22"/>
                <w:szCs w:val="22"/>
                <w:lang w:eastAsia="en-US"/>
              </w:rPr>
            </w:pPr>
            <w:r w:rsidRPr="00E25FEE">
              <w:rPr>
                <w:rFonts w:ascii="Cambria" w:eastAsia="Calibri" w:hAnsi="Cambria" w:cs="Arial"/>
                <w:sz w:val="22"/>
                <w:szCs w:val="22"/>
                <w:lang w:eastAsia="en-US"/>
              </w:rPr>
              <w:t>Livro Inventário de Patrimônio com Resumo da movimentação anual.</w:t>
            </w:r>
          </w:p>
        </w:tc>
        <w:tc>
          <w:tcPr>
            <w:tcW w:w="1649" w:type="dxa"/>
            <w:tcBorders>
              <w:top w:val="single" w:sz="4" w:space="0" w:color="000000"/>
              <w:left w:val="single" w:sz="4" w:space="0" w:color="000000"/>
              <w:bottom w:val="single" w:sz="4" w:space="0" w:color="000000"/>
            </w:tcBorders>
          </w:tcPr>
          <w:p w14:paraId="2CD8BA0A"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1165CC3B" w14:textId="3730FD4A" w:rsidR="00734F98" w:rsidRPr="00E25FEE" w:rsidRDefault="00356927"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Almoxarifado Central/Obras e Farmácia</w:t>
            </w:r>
          </w:p>
        </w:tc>
        <w:tc>
          <w:tcPr>
            <w:tcW w:w="1243" w:type="dxa"/>
            <w:tcBorders>
              <w:top w:val="single" w:sz="4" w:space="0" w:color="000000"/>
              <w:left w:val="single" w:sz="4" w:space="0" w:color="000000"/>
              <w:bottom w:val="single" w:sz="4" w:space="0" w:color="000000"/>
              <w:right w:val="single" w:sz="4" w:space="0" w:color="000000"/>
            </w:tcBorders>
            <w:vAlign w:val="center"/>
          </w:tcPr>
          <w:p w14:paraId="0958A89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 (do exercício seguinte)</w:t>
            </w:r>
          </w:p>
        </w:tc>
      </w:tr>
      <w:tr w:rsidR="00734F98" w:rsidRPr="00E25FEE" w14:paraId="3290A1E7" w14:textId="77777777" w:rsidTr="00867339">
        <w:trPr>
          <w:trHeight w:val="391"/>
          <w:jc w:val="center"/>
        </w:trPr>
        <w:tc>
          <w:tcPr>
            <w:tcW w:w="567" w:type="dxa"/>
            <w:tcBorders>
              <w:top w:val="single" w:sz="4" w:space="0" w:color="000000"/>
              <w:left w:val="single" w:sz="4" w:space="0" w:color="000000"/>
              <w:bottom w:val="single" w:sz="4" w:space="0" w:color="000000"/>
            </w:tcBorders>
            <w:vAlign w:val="center"/>
          </w:tcPr>
          <w:p w14:paraId="2E8DB869"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0DE86A9D"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tesouraria encerrar nas Instituições Financeiras todas as contas bancárias sem movimentação e sem saldo financeiro e inativas por no mínimo dois (02) anos, exceto as contas de convênios e programas ativos.</w:t>
            </w:r>
          </w:p>
        </w:tc>
        <w:tc>
          <w:tcPr>
            <w:tcW w:w="1649" w:type="dxa"/>
            <w:tcBorders>
              <w:top w:val="single" w:sz="4" w:space="0" w:color="000000"/>
              <w:left w:val="single" w:sz="4" w:space="0" w:color="000000"/>
              <w:bottom w:val="single" w:sz="4" w:space="0" w:color="000000"/>
            </w:tcBorders>
          </w:tcPr>
          <w:p w14:paraId="284ED40A"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732956A7" w14:textId="51E004C1"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13EE2867" w14:textId="5D1C54F7"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w:t>
            </w:r>
            <w:r w:rsidR="00734F98" w:rsidRPr="00E25FEE">
              <w:rPr>
                <w:rFonts w:ascii="Cambria" w:eastAsia="Calibri" w:hAnsi="Cambria" w:cs="Arial"/>
                <w:sz w:val="22"/>
                <w:szCs w:val="22"/>
                <w:lang w:eastAsia="en-US"/>
              </w:rPr>
              <w:t>6/01 (do exercício seguinte)</w:t>
            </w:r>
          </w:p>
        </w:tc>
      </w:tr>
      <w:tr w:rsidR="00734F98" w:rsidRPr="00E25FEE" w14:paraId="3D590647" w14:textId="77777777" w:rsidTr="00867339">
        <w:trPr>
          <w:trHeight w:val="391"/>
          <w:jc w:val="center"/>
        </w:trPr>
        <w:tc>
          <w:tcPr>
            <w:tcW w:w="567" w:type="dxa"/>
            <w:tcBorders>
              <w:top w:val="single" w:sz="4" w:space="0" w:color="000000"/>
              <w:left w:val="single" w:sz="4" w:space="0" w:color="000000"/>
              <w:bottom w:val="single" w:sz="4" w:space="0" w:color="000000"/>
            </w:tcBorders>
            <w:vAlign w:val="center"/>
          </w:tcPr>
          <w:p w14:paraId="719FF461"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206F28C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 tesouraria informar, por escrito, à contabilidade, a relação das contas bancárias encerradas nas Instituições Financeiras que ainda constam no Sistema de informática, para sua desativação.</w:t>
            </w:r>
          </w:p>
        </w:tc>
        <w:tc>
          <w:tcPr>
            <w:tcW w:w="1649" w:type="dxa"/>
            <w:tcBorders>
              <w:top w:val="single" w:sz="4" w:space="0" w:color="000000"/>
              <w:left w:val="single" w:sz="4" w:space="0" w:color="000000"/>
              <w:bottom w:val="single" w:sz="4" w:space="0" w:color="000000"/>
            </w:tcBorders>
          </w:tcPr>
          <w:p w14:paraId="637CE1D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48EFE23F" w14:textId="10727562" w:rsidR="00734F98" w:rsidRPr="00E25FEE" w:rsidRDefault="00E25FEE"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Tesouraria</w:t>
            </w:r>
          </w:p>
        </w:tc>
        <w:tc>
          <w:tcPr>
            <w:tcW w:w="1243" w:type="dxa"/>
            <w:tcBorders>
              <w:top w:val="single" w:sz="4" w:space="0" w:color="000000"/>
              <w:left w:val="single" w:sz="4" w:space="0" w:color="000000"/>
              <w:bottom w:val="single" w:sz="4" w:space="0" w:color="000000"/>
              <w:right w:val="single" w:sz="4" w:space="0" w:color="000000"/>
            </w:tcBorders>
            <w:vAlign w:val="center"/>
          </w:tcPr>
          <w:p w14:paraId="35C76421" w14:textId="195B1EFE"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w:t>
            </w:r>
            <w:r w:rsidR="00734F98" w:rsidRPr="00E25FEE">
              <w:rPr>
                <w:rFonts w:ascii="Cambria" w:eastAsia="Calibri" w:hAnsi="Cambria" w:cs="Arial"/>
                <w:sz w:val="22"/>
                <w:szCs w:val="22"/>
                <w:lang w:eastAsia="en-US"/>
              </w:rPr>
              <w:t>6/01 (do exercício seguinte)</w:t>
            </w:r>
          </w:p>
        </w:tc>
      </w:tr>
      <w:tr w:rsidR="00734F98" w:rsidRPr="00E25FEE" w14:paraId="19E92F06"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1B52A5CA"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CAF019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Poder Legislativo e o Fundo Municipal de Previdência encaminharem os demonstrativos e as informações contábeis relativas ao encerramento do exercício para fins de consolidação.</w:t>
            </w:r>
          </w:p>
        </w:tc>
        <w:tc>
          <w:tcPr>
            <w:tcW w:w="1649" w:type="dxa"/>
            <w:tcBorders>
              <w:top w:val="single" w:sz="4" w:space="0" w:color="000000"/>
              <w:left w:val="single" w:sz="4" w:space="0" w:color="000000"/>
              <w:bottom w:val="single" w:sz="4" w:space="0" w:color="000000"/>
            </w:tcBorders>
          </w:tcPr>
          <w:p w14:paraId="70DDA598"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5E49DBDC" w14:textId="77777777"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PREV Juara </w:t>
            </w:r>
            <w:r w:rsidR="00734F98" w:rsidRPr="00E25FEE">
              <w:rPr>
                <w:rFonts w:ascii="Cambria" w:eastAsia="Calibri" w:hAnsi="Cambria" w:cs="Arial"/>
                <w:sz w:val="22"/>
                <w:szCs w:val="22"/>
                <w:lang w:eastAsia="en-US"/>
              </w:rPr>
              <w:t>e</w:t>
            </w:r>
          </w:p>
          <w:p w14:paraId="0226B5F4" w14:textId="25B2D2D3" w:rsidR="00E25FEE"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Poder Legislativo</w:t>
            </w:r>
          </w:p>
        </w:tc>
        <w:tc>
          <w:tcPr>
            <w:tcW w:w="1243" w:type="dxa"/>
            <w:tcBorders>
              <w:top w:val="single" w:sz="4" w:space="0" w:color="000000"/>
              <w:left w:val="single" w:sz="4" w:space="0" w:color="000000"/>
              <w:bottom w:val="single" w:sz="4" w:space="0" w:color="000000"/>
              <w:right w:val="single" w:sz="4" w:space="0" w:color="000000"/>
            </w:tcBorders>
            <w:vAlign w:val="center"/>
          </w:tcPr>
          <w:p w14:paraId="221EFD53" w14:textId="2E6DA98F"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16</w:t>
            </w:r>
            <w:r w:rsidR="00734F98" w:rsidRPr="00E25FEE">
              <w:rPr>
                <w:rFonts w:ascii="Cambria" w:eastAsia="Calibri" w:hAnsi="Cambria" w:cs="Arial"/>
                <w:sz w:val="22"/>
                <w:szCs w:val="22"/>
                <w:lang w:eastAsia="en-US"/>
              </w:rPr>
              <w:t>/01 (do exercício seguinte)</w:t>
            </w:r>
          </w:p>
        </w:tc>
      </w:tr>
      <w:tr w:rsidR="00734F98" w:rsidRPr="00E25FEE" w14:paraId="6A53D724"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21BDC9CE"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08F3A866"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apuração do resultado do exercício financeiro, a partir da qual o sistema estará desabilitado para qualquer registro contábil relativo ao exercício encerrado.</w:t>
            </w:r>
          </w:p>
        </w:tc>
        <w:tc>
          <w:tcPr>
            <w:tcW w:w="1649" w:type="dxa"/>
            <w:tcBorders>
              <w:top w:val="single" w:sz="4" w:space="0" w:color="000000"/>
              <w:left w:val="single" w:sz="4" w:space="0" w:color="000000"/>
              <w:bottom w:val="single" w:sz="4" w:space="0" w:color="000000"/>
            </w:tcBorders>
          </w:tcPr>
          <w:p w14:paraId="06900C4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5F32B9C2" w14:textId="230747A3"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Patrimônio</w:t>
            </w:r>
          </w:p>
        </w:tc>
        <w:tc>
          <w:tcPr>
            <w:tcW w:w="1243" w:type="dxa"/>
            <w:tcBorders>
              <w:top w:val="single" w:sz="4" w:space="0" w:color="000000"/>
              <w:left w:val="single" w:sz="4" w:space="0" w:color="000000"/>
              <w:bottom w:val="single" w:sz="4" w:space="0" w:color="000000"/>
              <w:right w:val="single" w:sz="4" w:space="0" w:color="000000"/>
            </w:tcBorders>
            <w:vAlign w:val="center"/>
          </w:tcPr>
          <w:p w14:paraId="380D1E65"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16/01(do exercício seguinte)</w:t>
            </w:r>
          </w:p>
        </w:tc>
      </w:tr>
      <w:tr w:rsidR="00734F98" w:rsidRPr="00E25FEE" w14:paraId="3268900D"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2D7160BD"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7198F246"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Entrega, pela comissão de patrimônio, das atas de encerramento dos inventários de bens permanentes e Material de Consumo, evidenciando eventuais diferenças e as respectivas providências adotadas.</w:t>
            </w:r>
          </w:p>
        </w:tc>
        <w:tc>
          <w:tcPr>
            <w:tcW w:w="1649" w:type="dxa"/>
            <w:tcBorders>
              <w:top w:val="single" w:sz="4" w:space="0" w:color="000000"/>
              <w:left w:val="single" w:sz="4" w:space="0" w:color="000000"/>
              <w:bottom w:val="single" w:sz="4" w:space="0" w:color="000000"/>
            </w:tcBorders>
          </w:tcPr>
          <w:p w14:paraId="13934970"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147517A5" w14:textId="613AA11A" w:rsidR="00734F98" w:rsidRPr="00E25FEE" w:rsidRDefault="00E25FEE"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Patrimônio</w:t>
            </w:r>
          </w:p>
        </w:tc>
        <w:tc>
          <w:tcPr>
            <w:tcW w:w="1243" w:type="dxa"/>
            <w:tcBorders>
              <w:top w:val="single" w:sz="4" w:space="0" w:color="000000"/>
              <w:left w:val="single" w:sz="4" w:space="0" w:color="000000"/>
              <w:bottom w:val="single" w:sz="4" w:space="0" w:color="000000"/>
              <w:right w:val="single" w:sz="4" w:space="0" w:color="000000"/>
            </w:tcBorders>
            <w:vAlign w:val="center"/>
          </w:tcPr>
          <w:p w14:paraId="6B18D321" w14:textId="69D175D7"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w:t>
            </w:r>
            <w:r w:rsidR="00734F98" w:rsidRPr="00E25FEE">
              <w:rPr>
                <w:rFonts w:ascii="Cambria" w:eastAsia="Calibri" w:hAnsi="Cambria" w:cs="Arial"/>
                <w:sz w:val="22"/>
                <w:szCs w:val="22"/>
                <w:lang w:eastAsia="en-US"/>
              </w:rPr>
              <w:t>6/01 (do exercício seguinte)</w:t>
            </w:r>
          </w:p>
        </w:tc>
      </w:tr>
      <w:tr w:rsidR="00734F98" w:rsidRPr="00E25FEE" w14:paraId="577F3DD5"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706B0E53"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56116A8E"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que o Conselho Gestor do Regime Próprio de Previdência, elabore e encaminhe ao Setor de Contabilidade, o relatório e parecer deste Conselho sobre a gestão operacional, econômica e financeira do RPPS.</w:t>
            </w:r>
          </w:p>
        </w:tc>
        <w:tc>
          <w:tcPr>
            <w:tcW w:w="1649" w:type="dxa"/>
            <w:tcBorders>
              <w:top w:val="single" w:sz="4" w:space="0" w:color="000000"/>
              <w:left w:val="single" w:sz="4" w:space="0" w:color="000000"/>
              <w:bottom w:val="single" w:sz="4" w:space="0" w:color="000000"/>
            </w:tcBorders>
          </w:tcPr>
          <w:p w14:paraId="7531B2B5" w14:textId="77777777" w:rsidR="00734F98" w:rsidRPr="00E25FEE" w:rsidRDefault="00734F98" w:rsidP="00356927">
            <w:pPr>
              <w:autoSpaceDE w:val="0"/>
              <w:autoSpaceDN w:val="0"/>
              <w:adjustRightInd w:val="0"/>
              <w:rPr>
                <w:rFonts w:ascii="Cambria" w:eastAsia="Calibri" w:hAnsi="Cambria" w:cs="Arial"/>
                <w:sz w:val="22"/>
                <w:szCs w:val="22"/>
                <w:lang w:eastAsia="en-US"/>
              </w:rPr>
            </w:pPr>
          </w:p>
          <w:p w14:paraId="0EA1C3E4"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Fundo Municipal de Previdência</w:t>
            </w:r>
          </w:p>
        </w:tc>
        <w:tc>
          <w:tcPr>
            <w:tcW w:w="1243" w:type="dxa"/>
            <w:tcBorders>
              <w:top w:val="single" w:sz="4" w:space="0" w:color="000000"/>
              <w:left w:val="single" w:sz="4" w:space="0" w:color="000000"/>
              <w:bottom w:val="single" w:sz="4" w:space="0" w:color="000000"/>
              <w:right w:val="single" w:sz="4" w:space="0" w:color="000000"/>
            </w:tcBorders>
            <w:vAlign w:val="center"/>
          </w:tcPr>
          <w:p w14:paraId="6EE4B84C"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19/01 (do exercício seguinte)</w:t>
            </w:r>
          </w:p>
        </w:tc>
      </w:tr>
      <w:tr w:rsidR="00734F98" w:rsidRPr="00E25FEE" w14:paraId="757DD1C7"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477408E4"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985FDFA" w14:textId="6665340F" w:rsidR="00734F98" w:rsidRPr="00E25FEE" w:rsidRDefault="00734F98" w:rsidP="00E25FEE">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Setor de Contabilidade publicar no site da Prefeitura e TCE os relatórios do período do</w:t>
            </w:r>
            <w:r w:rsidR="00E25FEE" w:rsidRPr="00E25FEE">
              <w:rPr>
                <w:rFonts w:ascii="Cambria" w:eastAsia="Calibri" w:hAnsi="Cambria" w:cs="Arial"/>
                <w:sz w:val="22"/>
                <w:szCs w:val="22"/>
                <w:lang w:eastAsia="en-US"/>
              </w:rPr>
              <w:t xml:space="preserve"> 6º bimestre de 2025 do RREO e 2</w:t>
            </w:r>
            <w:r w:rsidRPr="00E25FEE">
              <w:rPr>
                <w:rFonts w:ascii="Cambria" w:eastAsia="Calibri" w:hAnsi="Cambria" w:cs="Arial"/>
                <w:sz w:val="22"/>
                <w:szCs w:val="22"/>
                <w:lang w:eastAsia="en-US"/>
              </w:rPr>
              <w:t>º Semestre do RGF.</w:t>
            </w:r>
          </w:p>
        </w:tc>
        <w:tc>
          <w:tcPr>
            <w:tcW w:w="1649" w:type="dxa"/>
            <w:tcBorders>
              <w:top w:val="single" w:sz="4" w:space="0" w:color="000000"/>
              <w:left w:val="single" w:sz="4" w:space="0" w:color="000000"/>
              <w:bottom w:val="single" w:sz="4" w:space="0" w:color="000000"/>
            </w:tcBorders>
          </w:tcPr>
          <w:p w14:paraId="346D2FEB" w14:textId="47AC49B4" w:rsidR="00734F98" w:rsidRPr="00E25FEE" w:rsidRDefault="00E25FEE"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5BD42AE1" w14:textId="59A8E33B" w:rsidR="00734F98" w:rsidRPr="00E25FEE" w:rsidRDefault="00734F98"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2</w:t>
            </w:r>
            <w:r w:rsidR="00E25FEE" w:rsidRPr="00E25FEE">
              <w:rPr>
                <w:rFonts w:ascii="Cambria" w:eastAsia="Calibri" w:hAnsi="Cambria" w:cs="Arial"/>
                <w:sz w:val="22"/>
                <w:szCs w:val="22"/>
                <w:lang w:eastAsia="en-US"/>
              </w:rPr>
              <w:t>9</w:t>
            </w:r>
            <w:r w:rsidRPr="00E25FEE">
              <w:rPr>
                <w:rFonts w:ascii="Cambria" w:eastAsia="Calibri" w:hAnsi="Cambria" w:cs="Arial"/>
                <w:sz w:val="22"/>
                <w:szCs w:val="22"/>
                <w:lang w:eastAsia="en-US"/>
              </w:rPr>
              <w:t>/01 (do exercício seguinte)</w:t>
            </w:r>
          </w:p>
        </w:tc>
      </w:tr>
      <w:tr w:rsidR="00734F98" w:rsidRPr="00E25FEE" w14:paraId="181A49B7"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76E5A98A"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63A602D9"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Setor de Contabilidade prestar contas das informações de execução orçamentária referente ao período até 6º bimestre de 2025 ao SIOPE (Educação) e SIOPS (Saúde).</w:t>
            </w:r>
          </w:p>
        </w:tc>
        <w:tc>
          <w:tcPr>
            <w:tcW w:w="1649" w:type="dxa"/>
            <w:tcBorders>
              <w:top w:val="single" w:sz="4" w:space="0" w:color="000000"/>
              <w:left w:val="single" w:sz="4" w:space="0" w:color="000000"/>
              <w:bottom w:val="single" w:sz="4" w:space="0" w:color="000000"/>
            </w:tcBorders>
          </w:tcPr>
          <w:p w14:paraId="72C83870" w14:textId="7C6298F3"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062A1953" w14:textId="17D1C89D" w:rsidR="00734F98" w:rsidRPr="00E25FEE" w:rsidRDefault="00734F98"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2</w:t>
            </w:r>
            <w:r w:rsidR="00E25FEE" w:rsidRPr="00E25FEE">
              <w:rPr>
                <w:rFonts w:ascii="Cambria" w:eastAsia="Calibri" w:hAnsi="Cambria" w:cs="Arial"/>
                <w:sz w:val="22"/>
                <w:szCs w:val="22"/>
                <w:lang w:eastAsia="en-US"/>
              </w:rPr>
              <w:t>9</w:t>
            </w:r>
            <w:r w:rsidRPr="00E25FEE">
              <w:rPr>
                <w:rFonts w:ascii="Cambria" w:eastAsia="Calibri" w:hAnsi="Cambria" w:cs="Arial"/>
                <w:sz w:val="22"/>
                <w:szCs w:val="22"/>
                <w:lang w:eastAsia="en-US"/>
              </w:rPr>
              <w:t>/01 (do exercício seguinte)</w:t>
            </w:r>
          </w:p>
        </w:tc>
      </w:tr>
      <w:tr w:rsidR="00734F98" w:rsidRPr="00E25FEE" w14:paraId="48BA34CC"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438AACAD"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3A0F2F5B"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Prazo final para o envio ao STN da Matriz de Saldos Contábeis referente ao mês de dezembro/2025.</w:t>
            </w:r>
          </w:p>
        </w:tc>
        <w:tc>
          <w:tcPr>
            <w:tcW w:w="1649" w:type="dxa"/>
            <w:tcBorders>
              <w:top w:val="single" w:sz="4" w:space="0" w:color="000000"/>
              <w:left w:val="single" w:sz="4" w:space="0" w:color="000000"/>
              <w:bottom w:val="single" w:sz="4" w:space="0" w:color="000000"/>
            </w:tcBorders>
          </w:tcPr>
          <w:p w14:paraId="73988CF9" w14:textId="6EACC9E2"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3E652145" w14:textId="0D03AF82"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29</w:t>
            </w:r>
            <w:r w:rsidR="00734F98" w:rsidRPr="00E25FEE">
              <w:rPr>
                <w:rFonts w:ascii="Cambria" w:eastAsia="Calibri" w:hAnsi="Cambria" w:cs="Arial"/>
                <w:sz w:val="22"/>
                <w:szCs w:val="22"/>
                <w:lang w:eastAsia="en-US"/>
              </w:rPr>
              <w:t>/01 (do exercício seguinte)</w:t>
            </w:r>
          </w:p>
        </w:tc>
      </w:tr>
      <w:tr w:rsidR="00734F98" w:rsidRPr="00E25FEE" w14:paraId="004B121E"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2A88630F"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4D4CEDF8"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Setor de Contabilidade emitir as demonstrações contábeis da Administração Direta e as Demonstrações Contábeis Consolidadas do exercício financeiro, compreendendo os balanços orçamentário, financeiro e patrimonial, a demonstração das variações patrimoniais, a Demonstração dos Fluxos de Caixa e as respectivas Notas Explicativas.</w:t>
            </w:r>
          </w:p>
        </w:tc>
        <w:tc>
          <w:tcPr>
            <w:tcW w:w="1649" w:type="dxa"/>
            <w:tcBorders>
              <w:top w:val="single" w:sz="4" w:space="0" w:color="000000"/>
              <w:left w:val="single" w:sz="4" w:space="0" w:color="000000"/>
              <w:bottom w:val="single" w:sz="4" w:space="0" w:color="000000"/>
            </w:tcBorders>
          </w:tcPr>
          <w:p w14:paraId="1B5233CA"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2564D2E5" w14:textId="77777777" w:rsidR="00867339" w:rsidRDefault="00867339" w:rsidP="00356927">
            <w:pPr>
              <w:autoSpaceDE w:val="0"/>
              <w:autoSpaceDN w:val="0"/>
              <w:adjustRightInd w:val="0"/>
              <w:jc w:val="center"/>
              <w:rPr>
                <w:rFonts w:ascii="Cambria" w:eastAsia="Calibri" w:hAnsi="Cambria" w:cs="Arial"/>
                <w:sz w:val="22"/>
                <w:szCs w:val="22"/>
                <w:lang w:eastAsia="en-US"/>
              </w:rPr>
            </w:pPr>
          </w:p>
          <w:p w14:paraId="3B99870D" w14:textId="37F3F759"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Setor</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0BDEE02F" w14:textId="5C9BC17A" w:rsidR="00734F98" w:rsidRPr="00E25FEE" w:rsidRDefault="00734F98"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w:t>
            </w:r>
            <w:r w:rsidR="00E25FEE" w:rsidRPr="00E25FEE">
              <w:rPr>
                <w:rFonts w:ascii="Cambria" w:eastAsia="Calibri" w:hAnsi="Cambria" w:cs="Arial"/>
                <w:sz w:val="22"/>
                <w:szCs w:val="22"/>
                <w:lang w:eastAsia="en-US"/>
              </w:rPr>
              <w:t>3</w:t>
            </w:r>
            <w:r w:rsidRPr="00E25FEE">
              <w:rPr>
                <w:rFonts w:ascii="Cambria" w:eastAsia="Calibri" w:hAnsi="Cambria" w:cs="Arial"/>
                <w:sz w:val="22"/>
                <w:szCs w:val="22"/>
                <w:lang w:eastAsia="en-US"/>
              </w:rPr>
              <w:t>/02 (do exercício seguinte)</w:t>
            </w:r>
          </w:p>
        </w:tc>
      </w:tr>
      <w:tr w:rsidR="00734F98" w:rsidRPr="00E25FEE" w14:paraId="2104214F"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5B02AE5C"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10E7F8BC"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Setor de Contabilidade enviar ao Prefeito, para fins de coleta de assinaturas, o Relatório de Validação e Encaminhamento, contendo as informações relativas ao encerramento do exercício financeiro.</w:t>
            </w:r>
          </w:p>
        </w:tc>
        <w:tc>
          <w:tcPr>
            <w:tcW w:w="1649" w:type="dxa"/>
            <w:tcBorders>
              <w:top w:val="single" w:sz="4" w:space="0" w:color="000000"/>
              <w:left w:val="single" w:sz="4" w:space="0" w:color="000000"/>
              <w:bottom w:val="single" w:sz="4" w:space="0" w:color="000000"/>
            </w:tcBorders>
          </w:tcPr>
          <w:p w14:paraId="2E3E0915"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1CEF3ABB" w14:textId="57A85890"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20ACD215" w14:textId="5C710E7F" w:rsidR="00734F98" w:rsidRPr="00E25FEE" w:rsidRDefault="00734F98" w:rsidP="00E25FEE">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w:t>
            </w:r>
            <w:r w:rsidR="00E25FEE" w:rsidRPr="00E25FEE">
              <w:rPr>
                <w:rFonts w:ascii="Cambria" w:eastAsia="Calibri" w:hAnsi="Cambria" w:cs="Arial"/>
                <w:sz w:val="22"/>
                <w:szCs w:val="22"/>
                <w:lang w:eastAsia="en-US"/>
              </w:rPr>
              <w:t>3</w:t>
            </w:r>
            <w:r w:rsidRPr="00E25FEE">
              <w:rPr>
                <w:rFonts w:ascii="Cambria" w:eastAsia="Calibri" w:hAnsi="Cambria" w:cs="Arial"/>
                <w:sz w:val="22"/>
                <w:szCs w:val="22"/>
                <w:lang w:eastAsia="en-US"/>
              </w:rPr>
              <w:t>/02 (do exercício seguinte)</w:t>
            </w:r>
          </w:p>
        </w:tc>
      </w:tr>
      <w:tr w:rsidR="00734F98" w:rsidRPr="00E25FEE" w14:paraId="78D5622C"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367E9796"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318A1EB3"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o responsável pelo Controle Interno enviar ao Prefeito, para conhecimento prévio, a Manifestação Conclusiva do Controle Interno, contendo as informações relativas ao encerramento do exercício financeiro.</w:t>
            </w:r>
          </w:p>
        </w:tc>
        <w:tc>
          <w:tcPr>
            <w:tcW w:w="1649" w:type="dxa"/>
            <w:tcBorders>
              <w:top w:val="single" w:sz="4" w:space="0" w:color="000000"/>
              <w:left w:val="single" w:sz="4" w:space="0" w:color="000000"/>
              <w:bottom w:val="single" w:sz="4" w:space="0" w:color="000000"/>
            </w:tcBorders>
          </w:tcPr>
          <w:p w14:paraId="1AC87E44"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p>
          <w:p w14:paraId="18A0A3E3"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Controladoria Interna</w:t>
            </w:r>
          </w:p>
        </w:tc>
        <w:tc>
          <w:tcPr>
            <w:tcW w:w="1243" w:type="dxa"/>
            <w:tcBorders>
              <w:top w:val="single" w:sz="4" w:space="0" w:color="000000"/>
              <w:left w:val="single" w:sz="4" w:space="0" w:color="000000"/>
              <w:bottom w:val="single" w:sz="4" w:space="0" w:color="000000"/>
              <w:right w:val="single" w:sz="4" w:space="0" w:color="000000"/>
            </w:tcBorders>
            <w:vAlign w:val="center"/>
          </w:tcPr>
          <w:p w14:paraId="65BC033F" w14:textId="5D271C1A"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13</w:t>
            </w:r>
            <w:r w:rsidR="00734F98" w:rsidRPr="00E25FEE">
              <w:rPr>
                <w:rFonts w:ascii="Cambria" w:eastAsia="Calibri" w:hAnsi="Cambria" w:cs="Arial"/>
                <w:sz w:val="22"/>
                <w:szCs w:val="22"/>
                <w:lang w:eastAsia="en-US"/>
              </w:rPr>
              <w:t>/02 (do exercício seguinte)</w:t>
            </w:r>
          </w:p>
        </w:tc>
      </w:tr>
      <w:tr w:rsidR="00734F98" w:rsidRPr="00E25FEE" w14:paraId="477D97A3" w14:textId="77777777" w:rsidTr="00867339">
        <w:trPr>
          <w:trHeight w:val="667"/>
          <w:jc w:val="center"/>
        </w:trPr>
        <w:tc>
          <w:tcPr>
            <w:tcW w:w="567" w:type="dxa"/>
            <w:tcBorders>
              <w:top w:val="single" w:sz="4" w:space="0" w:color="000000"/>
              <w:left w:val="single" w:sz="4" w:space="0" w:color="000000"/>
              <w:bottom w:val="single" w:sz="4" w:space="0" w:color="000000"/>
            </w:tcBorders>
            <w:vAlign w:val="center"/>
          </w:tcPr>
          <w:p w14:paraId="2D242D78"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5FF11541"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envio das prestações contas através do APLIC ao Tribunal de Contas do Estado de Mato Grosso.</w:t>
            </w:r>
          </w:p>
        </w:tc>
        <w:tc>
          <w:tcPr>
            <w:tcW w:w="1649" w:type="dxa"/>
            <w:tcBorders>
              <w:top w:val="single" w:sz="4" w:space="0" w:color="000000"/>
              <w:left w:val="single" w:sz="4" w:space="0" w:color="000000"/>
              <w:bottom w:val="single" w:sz="4" w:space="0" w:color="000000"/>
            </w:tcBorders>
          </w:tcPr>
          <w:p w14:paraId="5C5BB8AB" w14:textId="77777777" w:rsidR="00E25FEE" w:rsidRPr="00E25FEE" w:rsidRDefault="00E25FEE" w:rsidP="00356927">
            <w:pPr>
              <w:autoSpaceDE w:val="0"/>
              <w:autoSpaceDN w:val="0"/>
              <w:adjustRightInd w:val="0"/>
              <w:jc w:val="center"/>
              <w:rPr>
                <w:rFonts w:ascii="Cambria" w:eastAsia="Calibri" w:hAnsi="Cambria" w:cs="Arial"/>
                <w:sz w:val="22"/>
                <w:szCs w:val="22"/>
                <w:lang w:eastAsia="en-US"/>
              </w:rPr>
            </w:pPr>
          </w:p>
          <w:p w14:paraId="3EC95573" w14:textId="25056E0D"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APLIC</w:t>
            </w:r>
          </w:p>
        </w:tc>
        <w:tc>
          <w:tcPr>
            <w:tcW w:w="1243" w:type="dxa"/>
            <w:tcBorders>
              <w:top w:val="single" w:sz="4" w:space="0" w:color="000000"/>
              <w:left w:val="single" w:sz="4" w:space="0" w:color="000000"/>
              <w:bottom w:val="single" w:sz="4" w:space="0" w:color="000000"/>
              <w:right w:val="single" w:sz="4" w:space="0" w:color="000000"/>
            </w:tcBorders>
            <w:vAlign w:val="center"/>
          </w:tcPr>
          <w:p w14:paraId="4CDFF9C3" w14:textId="01AD31E2"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29</w:t>
            </w:r>
            <w:r w:rsidR="00734F98" w:rsidRPr="00E25FEE">
              <w:rPr>
                <w:rFonts w:ascii="Cambria" w:eastAsia="Calibri" w:hAnsi="Cambria" w:cs="Arial"/>
                <w:sz w:val="22"/>
                <w:szCs w:val="22"/>
                <w:lang w:eastAsia="en-US"/>
              </w:rPr>
              <w:t>/01(do exercício seguinte)</w:t>
            </w:r>
          </w:p>
        </w:tc>
      </w:tr>
      <w:tr w:rsidR="00734F98" w:rsidRPr="00E25FEE" w14:paraId="5F900429" w14:textId="77777777" w:rsidTr="00867339">
        <w:trPr>
          <w:trHeight w:val="753"/>
          <w:jc w:val="center"/>
        </w:trPr>
        <w:tc>
          <w:tcPr>
            <w:tcW w:w="567" w:type="dxa"/>
            <w:tcBorders>
              <w:top w:val="single" w:sz="4" w:space="0" w:color="000000"/>
              <w:left w:val="single" w:sz="4" w:space="0" w:color="000000"/>
              <w:bottom w:val="single" w:sz="4" w:space="0" w:color="000000"/>
            </w:tcBorders>
            <w:vAlign w:val="center"/>
          </w:tcPr>
          <w:p w14:paraId="382F3456"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05F7A535"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fornecimentos dos saldos das Dívidas Fundada e Parcelamentos existentes.</w:t>
            </w:r>
          </w:p>
        </w:tc>
        <w:tc>
          <w:tcPr>
            <w:tcW w:w="1649" w:type="dxa"/>
            <w:tcBorders>
              <w:top w:val="single" w:sz="4" w:space="0" w:color="000000"/>
              <w:left w:val="single" w:sz="4" w:space="0" w:color="000000"/>
              <w:bottom w:val="single" w:sz="4" w:space="0" w:color="000000"/>
            </w:tcBorders>
          </w:tcPr>
          <w:p w14:paraId="08898D31" w14:textId="6F911698"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Secretaria de Finanças</w:t>
            </w:r>
          </w:p>
        </w:tc>
        <w:tc>
          <w:tcPr>
            <w:tcW w:w="1243" w:type="dxa"/>
            <w:tcBorders>
              <w:top w:val="single" w:sz="4" w:space="0" w:color="000000"/>
              <w:left w:val="single" w:sz="4" w:space="0" w:color="000000"/>
              <w:bottom w:val="single" w:sz="4" w:space="0" w:color="000000"/>
              <w:right w:val="single" w:sz="4" w:space="0" w:color="000000"/>
            </w:tcBorders>
            <w:vAlign w:val="center"/>
          </w:tcPr>
          <w:p w14:paraId="1FFA475A"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06/01(do exercício seguinte)</w:t>
            </w:r>
          </w:p>
        </w:tc>
      </w:tr>
      <w:tr w:rsidR="00734F98" w:rsidRPr="00E25FEE" w14:paraId="65F32983" w14:textId="77777777" w:rsidTr="00867339">
        <w:trPr>
          <w:trHeight w:val="709"/>
          <w:jc w:val="center"/>
        </w:trPr>
        <w:tc>
          <w:tcPr>
            <w:tcW w:w="567" w:type="dxa"/>
            <w:tcBorders>
              <w:top w:val="single" w:sz="4" w:space="0" w:color="000000"/>
              <w:left w:val="single" w:sz="4" w:space="0" w:color="000000"/>
              <w:bottom w:val="single" w:sz="4" w:space="0" w:color="000000"/>
            </w:tcBorders>
            <w:vAlign w:val="center"/>
          </w:tcPr>
          <w:p w14:paraId="32FC8923" w14:textId="77777777" w:rsidR="00734F98" w:rsidRPr="00E25FEE" w:rsidRDefault="00734F98" w:rsidP="00356927">
            <w:pPr>
              <w:numPr>
                <w:ilvl w:val="0"/>
                <w:numId w:val="22"/>
              </w:numPr>
              <w:suppressAutoHyphens/>
              <w:jc w:val="center"/>
              <w:rPr>
                <w:rFonts w:ascii="Cambria" w:eastAsia="Calibri" w:hAnsi="Cambria" w:cs="Arial"/>
                <w:sz w:val="22"/>
                <w:szCs w:val="22"/>
                <w:lang w:eastAsia="en-US"/>
              </w:rPr>
            </w:pPr>
          </w:p>
        </w:tc>
        <w:tc>
          <w:tcPr>
            <w:tcW w:w="5665" w:type="dxa"/>
            <w:tcBorders>
              <w:top w:val="single" w:sz="4" w:space="0" w:color="000000"/>
              <w:left w:val="single" w:sz="4" w:space="0" w:color="000000"/>
              <w:bottom w:val="single" w:sz="4" w:space="0" w:color="000000"/>
            </w:tcBorders>
            <w:vAlign w:val="center"/>
          </w:tcPr>
          <w:p w14:paraId="1D25E14D" w14:textId="77777777" w:rsidR="00734F98" w:rsidRPr="00E25FEE" w:rsidRDefault="00734F98" w:rsidP="00356927">
            <w:pPr>
              <w:autoSpaceDE w:val="0"/>
              <w:autoSpaceDN w:val="0"/>
              <w:adjustRightInd w:val="0"/>
              <w:jc w:val="both"/>
              <w:rPr>
                <w:rFonts w:ascii="Cambria" w:eastAsia="Calibri" w:hAnsi="Cambria" w:cs="Arial"/>
                <w:sz w:val="22"/>
                <w:szCs w:val="22"/>
                <w:lang w:eastAsia="en-US"/>
              </w:rPr>
            </w:pPr>
            <w:r w:rsidRPr="00E25FEE">
              <w:rPr>
                <w:rFonts w:ascii="Cambria" w:eastAsia="Calibri" w:hAnsi="Cambria" w:cs="Arial"/>
                <w:sz w:val="22"/>
                <w:szCs w:val="22"/>
                <w:lang w:eastAsia="en-US"/>
              </w:rPr>
              <w:t>Data limite para publicação dos balanços anuais do exercício financeiro na imprensa oficial.</w:t>
            </w:r>
          </w:p>
        </w:tc>
        <w:tc>
          <w:tcPr>
            <w:tcW w:w="1649" w:type="dxa"/>
            <w:tcBorders>
              <w:top w:val="single" w:sz="4" w:space="0" w:color="000000"/>
              <w:left w:val="single" w:sz="4" w:space="0" w:color="000000"/>
              <w:bottom w:val="single" w:sz="4" w:space="0" w:color="000000"/>
            </w:tcBorders>
          </w:tcPr>
          <w:p w14:paraId="51411BCA" w14:textId="72E951E3" w:rsidR="00734F98" w:rsidRPr="00E25FEE" w:rsidRDefault="00E25FEE"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 xml:space="preserve">Setor </w:t>
            </w:r>
            <w:r w:rsidR="00734F98" w:rsidRPr="00E25FEE">
              <w:rPr>
                <w:rFonts w:ascii="Cambria" w:eastAsia="Calibri" w:hAnsi="Cambria" w:cs="Arial"/>
                <w:sz w:val="22"/>
                <w:szCs w:val="22"/>
                <w:lang w:eastAsia="en-US"/>
              </w:rPr>
              <w:t xml:space="preserve"> de Contabilidade</w:t>
            </w:r>
          </w:p>
        </w:tc>
        <w:tc>
          <w:tcPr>
            <w:tcW w:w="1243" w:type="dxa"/>
            <w:tcBorders>
              <w:top w:val="single" w:sz="4" w:space="0" w:color="000000"/>
              <w:left w:val="single" w:sz="4" w:space="0" w:color="000000"/>
              <w:bottom w:val="single" w:sz="4" w:space="0" w:color="000000"/>
              <w:right w:val="single" w:sz="4" w:space="0" w:color="000000"/>
            </w:tcBorders>
            <w:vAlign w:val="center"/>
          </w:tcPr>
          <w:p w14:paraId="49D405E6" w14:textId="77777777" w:rsidR="00734F98" w:rsidRPr="00E25FEE" w:rsidRDefault="00734F98" w:rsidP="00356927">
            <w:pPr>
              <w:autoSpaceDE w:val="0"/>
              <w:autoSpaceDN w:val="0"/>
              <w:adjustRightInd w:val="0"/>
              <w:jc w:val="center"/>
              <w:rPr>
                <w:rFonts w:ascii="Cambria" w:eastAsia="Calibri" w:hAnsi="Cambria" w:cs="Arial"/>
                <w:sz w:val="22"/>
                <w:szCs w:val="22"/>
                <w:lang w:eastAsia="en-US"/>
              </w:rPr>
            </w:pPr>
            <w:r w:rsidRPr="00E25FEE">
              <w:rPr>
                <w:rFonts w:ascii="Cambria" w:eastAsia="Calibri" w:hAnsi="Cambria" w:cs="Arial"/>
                <w:sz w:val="22"/>
                <w:szCs w:val="22"/>
                <w:lang w:eastAsia="en-US"/>
              </w:rPr>
              <w:t>13/02 (do exercício seguinte)</w:t>
            </w:r>
          </w:p>
        </w:tc>
      </w:tr>
    </w:tbl>
    <w:p w14:paraId="1EF54868" w14:textId="4E3B2D45" w:rsidR="00FE2AEA" w:rsidRPr="00E25FEE" w:rsidRDefault="00FE2AEA" w:rsidP="00356927">
      <w:pPr>
        <w:rPr>
          <w:rFonts w:ascii="Cambria" w:hAnsi="Cambria"/>
          <w:sz w:val="22"/>
          <w:szCs w:val="22"/>
        </w:rPr>
      </w:pPr>
    </w:p>
    <w:sectPr w:rsidR="00FE2AEA" w:rsidRPr="00E25FEE"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5ACC3" w14:textId="77777777" w:rsidR="005B73C0" w:rsidRDefault="005B73C0">
      <w:r>
        <w:separator/>
      </w:r>
    </w:p>
  </w:endnote>
  <w:endnote w:type="continuationSeparator" w:id="0">
    <w:p w14:paraId="2C05BB25" w14:textId="77777777" w:rsidR="005B73C0" w:rsidRDefault="005B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06325E38"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DD57FF">
            <w:rPr>
              <w:noProof/>
            </w:rPr>
            <w:t>6</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2C094" w14:textId="77777777" w:rsidR="005B73C0" w:rsidRDefault="005B73C0">
      <w:r>
        <w:separator/>
      </w:r>
    </w:p>
  </w:footnote>
  <w:footnote w:type="continuationSeparator" w:id="0">
    <w:p w14:paraId="13AAE1F6" w14:textId="77777777" w:rsidR="005B73C0" w:rsidRDefault="005B73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88E6766"/>
    <w:multiLevelType w:val="hybridMultilevel"/>
    <w:tmpl w:val="EBC0CD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9"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2"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5"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AF40765"/>
    <w:multiLevelType w:val="hybridMultilevel"/>
    <w:tmpl w:val="DB12F0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3C96F7D"/>
    <w:multiLevelType w:val="hybridMultilevel"/>
    <w:tmpl w:val="BF9EC2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70739F0"/>
    <w:multiLevelType w:val="hybridMultilevel"/>
    <w:tmpl w:val="F5BE31C6"/>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21"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2"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3"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abstractNum w:abstractNumId="24" w15:restartNumberingAfterBreak="0">
    <w:nsid w:val="7D296EE0"/>
    <w:multiLevelType w:val="hybridMultilevel"/>
    <w:tmpl w:val="A96E90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3"/>
  </w:num>
  <w:num w:numId="2">
    <w:abstractNumId w:val="23"/>
  </w:num>
  <w:num w:numId="3">
    <w:abstractNumId w:val="21"/>
  </w:num>
  <w:num w:numId="4">
    <w:abstractNumId w:val="20"/>
  </w:num>
  <w:num w:numId="5">
    <w:abstractNumId w:val="22"/>
  </w:num>
  <w:num w:numId="6">
    <w:abstractNumId w:val="10"/>
  </w:num>
  <w:num w:numId="7">
    <w:abstractNumId w:val="17"/>
  </w:num>
  <w:num w:numId="8">
    <w:abstractNumId w:val="6"/>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5"/>
  </w:num>
  <w:num w:numId="13">
    <w:abstractNumId w:val="7"/>
  </w:num>
  <w:num w:numId="14">
    <w:abstractNumId w:val="13"/>
  </w:num>
  <w:num w:numId="15">
    <w:abstractNumId w:val="12"/>
  </w:num>
  <w:num w:numId="16">
    <w:abstractNumId w:val="15"/>
  </w:num>
  <w:num w:numId="17">
    <w:abstractNumId w:val="1"/>
  </w:num>
  <w:num w:numId="18">
    <w:abstractNumId w:val="8"/>
  </w:num>
  <w:num w:numId="19">
    <w:abstractNumId w:val="9"/>
  </w:num>
  <w:num w:numId="20">
    <w:abstractNumId w:val="3"/>
  </w:num>
  <w:num w:numId="21">
    <w:abstractNumId w:val="11"/>
  </w:num>
  <w:num w:numId="22">
    <w:abstractNumId w:val="19"/>
  </w:num>
  <w:num w:numId="23">
    <w:abstractNumId w:val="18"/>
  </w:num>
  <w:num w:numId="24">
    <w:abstractNumId w:val="2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07C"/>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14C"/>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6960"/>
    <w:rsid w:val="00157054"/>
    <w:rsid w:val="0015748B"/>
    <w:rsid w:val="001604A0"/>
    <w:rsid w:val="00160B31"/>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8AF"/>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13DD"/>
    <w:rsid w:val="001F4594"/>
    <w:rsid w:val="001F4AF3"/>
    <w:rsid w:val="001F54B9"/>
    <w:rsid w:val="001F56B5"/>
    <w:rsid w:val="001F58A7"/>
    <w:rsid w:val="001F661D"/>
    <w:rsid w:val="001F794F"/>
    <w:rsid w:val="00201FA3"/>
    <w:rsid w:val="002021F0"/>
    <w:rsid w:val="00203726"/>
    <w:rsid w:val="00204237"/>
    <w:rsid w:val="0020488A"/>
    <w:rsid w:val="00206B76"/>
    <w:rsid w:val="002071C7"/>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6ECB"/>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92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B73C0"/>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D7978"/>
    <w:rsid w:val="005E10A5"/>
    <w:rsid w:val="005E1912"/>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19E0"/>
    <w:rsid w:val="006E2818"/>
    <w:rsid w:val="006E2F41"/>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4FD"/>
    <w:rsid w:val="00730A1C"/>
    <w:rsid w:val="007311D6"/>
    <w:rsid w:val="007318AB"/>
    <w:rsid w:val="0073356F"/>
    <w:rsid w:val="007342D6"/>
    <w:rsid w:val="00734F98"/>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1C20"/>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6B8"/>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6733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6B3"/>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63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BE0"/>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2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255"/>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D6"/>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212D"/>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07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4EC"/>
    <w:rsid w:val="00C8156C"/>
    <w:rsid w:val="00C82537"/>
    <w:rsid w:val="00C83038"/>
    <w:rsid w:val="00C83D18"/>
    <w:rsid w:val="00C84095"/>
    <w:rsid w:val="00C84188"/>
    <w:rsid w:val="00C8497B"/>
    <w:rsid w:val="00C850E9"/>
    <w:rsid w:val="00C85A52"/>
    <w:rsid w:val="00C85D60"/>
    <w:rsid w:val="00C85E3F"/>
    <w:rsid w:val="00C8698D"/>
    <w:rsid w:val="00C86D26"/>
    <w:rsid w:val="00C87C29"/>
    <w:rsid w:val="00C90D3E"/>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3F0"/>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57FF"/>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0FF3"/>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5FEE"/>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32D1"/>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4A7"/>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1DA1"/>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BE0"/>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DDB1E-85DB-4E33-9F74-746B98D8B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3496</Words>
  <Characters>18884</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22336</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6</cp:revision>
  <cp:lastPrinted>2025-11-10T12:46:00Z</cp:lastPrinted>
  <dcterms:created xsi:type="dcterms:W3CDTF">2025-11-07T19:17:00Z</dcterms:created>
  <dcterms:modified xsi:type="dcterms:W3CDTF">2025-11-14T20:38:00Z</dcterms:modified>
</cp:coreProperties>
</file>