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F3FBF" w14:textId="523F4FCD" w:rsidR="00D4496A" w:rsidRPr="00D4496A" w:rsidRDefault="00D4496A" w:rsidP="00D4496A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D4496A">
        <w:rPr>
          <w:rFonts w:ascii="Cambria" w:hAnsi="Cambria" w:cs="Arial"/>
          <w:b/>
          <w:bCs/>
          <w:sz w:val="23"/>
          <w:szCs w:val="23"/>
        </w:rPr>
        <w:t xml:space="preserve">Decreto nº 2.216, </w:t>
      </w:r>
      <w:r w:rsidRPr="00D4496A">
        <w:rPr>
          <w:rFonts w:ascii="Cambria" w:hAnsi="Cambria" w:cs="Arial"/>
          <w:b/>
          <w:bCs/>
          <w:sz w:val="23"/>
          <w:szCs w:val="23"/>
        </w:rPr>
        <w:t>de 31</w:t>
      </w:r>
      <w:r w:rsidRPr="00D4496A">
        <w:rPr>
          <w:rFonts w:ascii="Cambria" w:hAnsi="Cambria" w:cs="Arial"/>
          <w:b/>
          <w:bCs/>
          <w:sz w:val="23"/>
          <w:szCs w:val="23"/>
        </w:rPr>
        <w:t xml:space="preserve"> de março 2025.</w:t>
      </w:r>
    </w:p>
    <w:p w14:paraId="1A4D48D0" w14:textId="0335C302" w:rsidR="00D4496A" w:rsidRPr="00D4496A" w:rsidRDefault="00D4496A" w:rsidP="00D4496A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1EF0F82" w14:textId="77777777" w:rsidR="00D4496A" w:rsidRPr="00D4496A" w:rsidRDefault="00D4496A" w:rsidP="00D4496A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D4496A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D4496A">
        <w:rPr>
          <w:rFonts w:ascii="Cambria" w:hAnsi="Cambria" w:cs="Arial"/>
          <w:bCs/>
          <w:sz w:val="23"/>
          <w:szCs w:val="23"/>
        </w:rPr>
        <w:t>.</w:t>
      </w:r>
    </w:p>
    <w:p w14:paraId="6B32ADB0" w14:textId="77777777" w:rsidR="00D4496A" w:rsidRPr="00D4496A" w:rsidRDefault="00D4496A" w:rsidP="00D4496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23E3360" w14:textId="77777777" w:rsidR="00D4496A" w:rsidRPr="00D4496A" w:rsidRDefault="00D4496A" w:rsidP="00D4496A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74595DB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4392E44D" w14:textId="77777777" w:rsidR="00D4496A" w:rsidRPr="00D4496A" w:rsidRDefault="00D4496A" w:rsidP="00D4496A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D4496A">
        <w:rPr>
          <w:rFonts w:ascii="Cambria" w:hAnsi="Cambria" w:cs="Arial"/>
          <w:bCs/>
          <w:sz w:val="23"/>
          <w:szCs w:val="23"/>
        </w:rPr>
        <w:t xml:space="preserve">Considerando a Lei Municipal nº 3.255, de 27 de janeiro de 2025 que, </w:t>
      </w:r>
      <w:proofErr w:type="gramStart"/>
      <w:r w:rsidRPr="00D4496A">
        <w:rPr>
          <w:rFonts w:ascii="Cambria" w:hAnsi="Cambria" w:cs="Arial"/>
          <w:sz w:val="23"/>
          <w:szCs w:val="23"/>
        </w:rPr>
        <w:t>Autoriza</w:t>
      </w:r>
      <w:proofErr w:type="gramEnd"/>
      <w:r w:rsidRPr="00D4496A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D4496A">
        <w:rPr>
          <w:rFonts w:ascii="Cambria" w:hAnsi="Cambria" w:cs="Calibri"/>
          <w:sz w:val="23"/>
          <w:szCs w:val="23"/>
        </w:rPr>
        <w:t>Crédito Adicional Suplementar por Superávit Financeiro do Exercício Anterior.</w:t>
      </w:r>
    </w:p>
    <w:p w14:paraId="754D2D9E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2CDC09D3" w14:textId="77777777" w:rsidR="00D4496A" w:rsidRPr="00D4496A" w:rsidRDefault="00D4496A" w:rsidP="00D4496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>DECRETA:</w:t>
      </w:r>
    </w:p>
    <w:p w14:paraId="1071AE36" w14:textId="77777777" w:rsidR="00D4496A" w:rsidRPr="00D4496A" w:rsidRDefault="00D4496A" w:rsidP="00D4496A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7434F6D3" w14:textId="4DEF9B90" w:rsidR="00D4496A" w:rsidRDefault="00D4496A" w:rsidP="00D4496A">
      <w:pPr>
        <w:ind w:firstLine="1423"/>
        <w:jc w:val="both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 xml:space="preserve">Art. 1º Fica aberto no orçamento do exercício corrente, um crédito suplementar, no valor de R$ </w:t>
      </w:r>
      <w:r w:rsidRPr="00D4496A">
        <w:rPr>
          <w:rFonts w:ascii="Cambria" w:hAnsi="Cambria" w:cs="Arial"/>
          <w:sz w:val="23"/>
          <w:szCs w:val="23"/>
        </w:rPr>
        <w:t>1.000.000,00 (</w:t>
      </w:r>
      <w:r w:rsidRPr="00D4496A">
        <w:rPr>
          <w:rFonts w:ascii="Cambria" w:hAnsi="Cambria" w:cs="Arial"/>
          <w:sz w:val="23"/>
          <w:szCs w:val="23"/>
        </w:rPr>
        <w:t>um milhão de reais),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4"/>
        <w:gridCol w:w="6944"/>
      </w:tblGrid>
      <w:tr w:rsidR="00D4496A" w14:paraId="34810B8A" w14:textId="77777777" w:rsidTr="00D4496A">
        <w:tc>
          <w:tcPr>
            <w:tcW w:w="1838" w:type="dxa"/>
          </w:tcPr>
          <w:p w14:paraId="2D586333" w14:textId="12E4378E" w:rsid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06.002</w:t>
            </w:r>
            <w:r w:rsidRPr="00D4496A">
              <w:rPr>
                <w:rFonts w:ascii="Cambria" w:hAnsi="Cambria" w:cs="Arial"/>
                <w:sz w:val="23"/>
                <w:szCs w:val="23"/>
              </w:rPr>
              <w:tab/>
            </w:r>
          </w:p>
        </w:tc>
        <w:tc>
          <w:tcPr>
            <w:tcW w:w="7110" w:type="dxa"/>
          </w:tcPr>
          <w:p w14:paraId="32E273CB" w14:textId="14F3E600" w:rsid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Divisão de Serv. de Pavimentação Asfáltica</w:t>
            </w:r>
          </w:p>
        </w:tc>
      </w:tr>
      <w:tr w:rsidR="00D4496A" w14:paraId="5B368685" w14:textId="77777777" w:rsidTr="00D4496A">
        <w:tc>
          <w:tcPr>
            <w:tcW w:w="1838" w:type="dxa"/>
          </w:tcPr>
          <w:p w14:paraId="01988D15" w14:textId="61D71552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15</w:t>
            </w:r>
          </w:p>
        </w:tc>
        <w:tc>
          <w:tcPr>
            <w:tcW w:w="7110" w:type="dxa"/>
          </w:tcPr>
          <w:p w14:paraId="5469001F" w14:textId="149D18EA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Urbanismo</w:t>
            </w:r>
          </w:p>
        </w:tc>
      </w:tr>
      <w:tr w:rsidR="00D4496A" w14:paraId="12105440" w14:textId="77777777" w:rsidTr="00D4496A">
        <w:tc>
          <w:tcPr>
            <w:tcW w:w="1838" w:type="dxa"/>
          </w:tcPr>
          <w:p w14:paraId="1623E822" w14:textId="5E762A73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15.451</w:t>
            </w:r>
          </w:p>
        </w:tc>
        <w:tc>
          <w:tcPr>
            <w:tcW w:w="7110" w:type="dxa"/>
          </w:tcPr>
          <w:p w14:paraId="7A8D194B" w14:textId="0C1B3FD9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Infra – Estrutura Urbana</w:t>
            </w:r>
          </w:p>
        </w:tc>
      </w:tr>
      <w:tr w:rsidR="00D4496A" w14:paraId="0996650F" w14:textId="77777777" w:rsidTr="00D4496A">
        <w:tc>
          <w:tcPr>
            <w:tcW w:w="1838" w:type="dxa"/>
          </w:tcPr>
          <w:p w14:paraId="08944D45" w14:textId="0174C9DC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15.451.0029</w:t>
            </w:r>
            <w:r w:rsidRPr="00D4496A">
              <w:rPr>
                <w:rFonts w:ascii="Cambria" w:hAnsi="Cambria" w:cs="Arial"/>
                <w:sz w:val="23"/>
                <w:szCs w:val="23"/>
              </w:rPr>
              <w:tab/>
            </w:r>
          </w:p>
        </w:tc>
        <w:tc>
          <w:tcPr>
            <w:tcW w:w="7110" w:type="dxa"/>
          </w:tcPr>
          <w:p w14:paraId="3C64FEF9" w14:textId="6F131458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Gestão da Infra Estrutura Urbana</w:t>
            </w:r>
          </w:p>
        </w:tc>
      </w:tr>
      <w:tr w:rsidR="00D4496A" w14:paraId="088A355F" w14:textId="77777777" w:rsidTr="00D4496A">
        <w:tc>
          <w:tcPr>
            <w:tcW w:w="1838" w:type="dxa"/>
          </w:tcPr>
          <w:p w14:paraId="065F7E09" w14:textId="15F0801D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15.451.0029.1255</w:t>
            </w:r>
          </w:p>
        </w:tc>
        <w:tc>
          <w:tcPr>
            <w:tcW w:w="7110" w:type="dxa"/>
          </w:tcPr>
          <w:p w14:paraId="1872D60B" w14:textId="7072211C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Sistemas de Drenagem Pluvial e Pavimentação Asfáltica</w:t>
            </w:r>
          </w:p>
        </w:tc>
      </w:tr>
      <w:tr w:rsidR="00D4496A" w14:paraId="6F060845" w14:textId="77777777" w:rsidTr="00D4496A">
        <w:tc>
          <w:tcPr>
            <w:tcW w:w="1838" w:type="dxa"/>
          </w:tcPr>
          <w:p w14:paraId="398FC0F6" w14:textId="27504B7E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44.90.51.00</w:t>
            </w:r>
          </w:p>
        </w:tc>
        <w:tc>
          <w:tcPr>
            <w:tcW w:w="7110" w:type="dxa"/>
          </w:tcPr>
          <w:p w14:paraId="5AEA7136" w14:textId="11CB531B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Ob</w:t>
            </w:r>
            <w:r>
              <w:rPr>
                <w:rFonts w:ascii="Cambria" w:hAnsi="Cambria" w:cs="Arial"/>
                <w:sz w:val="23"/>
                <w:szCs w:val="23"/>
              </w:rPr>
              <w:t>ras e Instalações ............</w:t>
            </w:r>
            <w:r w:rsidRPr="00D4496A">
              <w:rPr>
                <w:rFonts w:ascii="Cambria" w:hAnsi="Cambria" w:cs="Arial"/>
                <w:sz w:val="23"/>
                <w:szCs w:val="23"/>
              </w:rPr>
              <w:t>......................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............</w:t>
            </w:r>
            <w:r w:rsidRPr="00D4496A">
              <w:rPr>
                <w:rFonts w:ascii="Cambria" w:hAnsi="Cambria" w:cs="Arial"/>
                <w:sz w:val="23"/>
                <w:szCs w:val="23"/>
              </w:rPr>
              <w:t>......................R$ 1.000.000,00</w:t>
            </w:r>
          </w:p>
        </w:tc>
      </w:tr>
      <w:tr w:rsidR="00D4496A" w14:paraId="107921CC" w14:textId="77777777" w:rsidTr="00D4496A">
        <w:tc>
          <w:tcPr>
            <w:tcW w:w="1838" w:type="dxa"/>
          </w:tcPr>
          <w:p w14:paraId="666F8EB1" w14:textId="1B76300A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7110" w:type="dxa"/>
          </w:tcPr>
          <w:p w14:paraId="60C213A9" w14:textId="1123C85B" w:rsidR="00D4496A" w:rsidRPr="00D4496A" w:rsidRDefault="00D4496A" w:rsidP="00D4496A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D4496A">
              <w:rPr>
                <w:rFonts w:ascii="Cambria" w:hAnsi="Cambria" w:cs="Arial"/>
                <w:sz w:val="23"/>
                <w:szCs w:val="23"/>
              </w:rPr>
              <w:t xml:space="preserve">2.701.000.000 – Outras </w:t>
            </w:r>
            <w:proofErr w:type="spellStart"/>
            <w:r w:rsidRPr="00D4496A">
              <w:rPr>
                <w:rFonts w:ascii="Cambria" w:hAnsi="Cambria" w:cs="Arial"/>
                <w:sz w:val="23"/>
                <w:szCs w:val="23"/>
              </w:rPr>
              <w:t>Transf</w:t>
            </w:r>
            <w:proofErr w:type="spellEnd"/>
            <w:r w:rsidRPr="00D4496A">
              <w:rPr>
                <w:rFonts w:ascii="Cambria" w:hAnsi="Cambria" w:cs="Arial"/>
                <w:sz w:val="23"/>
                <w:szCs w:val="23"/>
              </w:rPr>
              <w:t xml:space="preserve">. de Convênios ou </w:t>
            </w:r>
            <w:proofErr w:type="spellStart"/>
            <w:r w:rsidRPr="00D4496A">
              <w:rPr>
                <w:rFonts w:ascii="Cambria" w:hAnsi="Cambria" w:cs="Arial"/>
                <w:sz w:val="23"/>
                <w:szCs w:val="23"/>
              </w:rPr>
              <w:t>Instrum</w:t>
            </w:r>
            <w:proofErr w:type="spellEnd"/>
            <w:r w:rsidRPr="00D4496A">
              <w:rPr>
                <w:rFonts w:ascii="Cambria" w:hAnsi="Cambria" w:cs="Arial"/>
                <w:sz w:val="23"/>
                <w:szCs w:val="23"/>
              </w:rPr>
              <w:t>. Cong.</w:t>
            </w:r>
            <w:r>
              <w:rPr>
                <w:rFonts w:ascii="Cambria" w:hAnsi="Cambria" w:cs="Arial"/>
                <w:sz w:val="23"/>
                <w:szCs w:val="23"/>
              </w:rPr>
              <w:t xml:space="preserve"> do </w:t>
            </w:r>
            <w:r w:rsidRPr="00D4496A">
              <w:rPr>
                <w:rFonts w:ascii="Cambria" w:hAnsi="Cambria" w:cs="Arial"/>
                <w:sz w:val="23"/>
                <w:szCs w:val="23"/>
              </w:rPr>
              <w:t xml:space="preserve">                                          </w:t>
            </w:r>
            <w:r>
              <w:rPr>
                <w:rFonts w:ascii="Cambria" w:hAnsi="Cambria" w:cs="Arial"/>
                <w:sz w:val="23"/>
                <w:szCs w:val="23"/>
              </w:rPr>
              <w:t xml:space="preserve">                        </w:t>
            </w:r>
            <w:r w:rsidRPr="00D4496A">
              <w:rPr>
                <w:rFonts w:ascii="Cambria" w:hAnsi="Cambria" w:cs="Arial"/>
                <w:sz w:val="23"/>
                <w:szCs w:val="23"/>
              </w:rPr>
              <w:t>Estados</w:t>
            </w:r>
          </w:p>
        </w:tc>
      </w:tr>
    </w:tbl>
    <w:p w14:paraId="341F83BB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380D7367" w14:textId="77777777" w:rsidR="00D4496A" w:rsidRPr="00D4496A" w:rsidRDefault="00D4496A" w:rsidP="00D4496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 xml:space="preserve"> Art. 2º As despesas decorrentes do crédito suplementar de que trata o artigo 1º correrão por Superávit Financeiro apurado no Balanço Patrimonial do Exercício de 2024, nos termos do artigo 43, § 1º inciso I e § 2º da Lei Federal nº 4.320/64.</w:t>
      </w:r>
    </w:p>
    <w:p w14:paraId="7711016B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62705F41" w14:textId="77777777" w:rsidR="00D4496A" w:rsidRPr="00D4496A" w:rsidRDefault="00D4496A" w:rsidP="00D4496A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0C032459" w14:textId="77777777" w:rsidR="00D4496A" w:rsidRPr="00D4496A" w:rsidRDefault="00D4496A" w:rsidP="00D4496A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F9614BD" w14:textId="77777777" w:rsidR="00D4496A" w:rsidRPr="00D4496A" w:rsidRDefault="00D4496A" w:rsidP="00D4496A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BA68F84" w14:textId="77777777" w:rsidR="00D4496A" w:rsidRPr="00D4496A" w:rsidRDefault="00D4496A" w:rsidP="00D4496A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6FDCBAB4" w14:textId="77777777" w:rsidR="00D4496A" w:rsidRPr="00D4496A" w:rsidRDefault="00D4496A" w:rsidP="00D4496A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>Governo Municipal de Juara, Estado de Mato</w:t>
      </w:r>
    </w:p>
    <w:p w14:paraId="01F3800F" w14:textId="54F1CF78" w:rsidR="00D4496A" w:rsidRPr="00D4496A" w:rsidRDefault="00D4496A" w:rsidP="00D4496A">
      <w:pPr>
        <w:jc w:val="center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31</w:t>
      </w:r>
      <w:r w:rsidRPr="00D4496A">
        <w:rPr>
          <w:rFonts w:ascii="Cambria" w:hAnsi="Cambria" w:cs="Arial"/>
          <w:sz w:val="23"/>
          <w:szCs w:val="23"/>
        </w:rPr>
        <w:t xml:space="preserve"> de março de 2025.</w:t>
      </w:r>
    </w:p>
    <w:p w14:paraId="75846BE1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742B8BED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45A3F750" w14:textId="4D5AC205" w:rsid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</w:p>
    <w:p w14:paraId="2DD20B57" w14:textId="77777777" w:rsidR="00D4496A" w:rsidRPr="00D4496A" w:rsidRDefault="00D4496A" w:rsidP="00D4496A">
      <w:pPr>
        <w:jc w:val="both"/>
        <w:rPr>
          <w:rFonts w:ascii="Cambria" w:hAnsi="Cambria" w:cs="Arial"/>
          <w:sz w:val="23"/>
          <w:szCs w:val="23"/>
        </w:rPr>
      </w:pPr>
      <w:bookmarkStart w:id="0" w:name="_GoBack"/>
      <w:bookmarkEnd w:id="0"/>
    </w:p>
    <w:p w14:paraId="3E538769" w14:textId="77777777" w:rsidR="00D4496A" w:rsidRPr="00D4496A" w:rsidRDefault="00D4496A" w:rsidP="00D4496A">
      <w:pPr>
        <w:jc w:val="center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257EAEB3" w14:textId="77777777" w:rsidR="00D4496A" w:rsidRPr="00D4496A" w:rsidRDefault="00D4496A" w:rsidP="00D4496A">
      <w:pPr>
        <w:jc w:val="center"/>
        <w:rPr>
          <w:rFonts w:ascii="Cambria" w:hAnsi="Cambria" w:cs="Arial"/>
          <w:sz w:val="23"/>
          <w:szCs w:val="23"/>
        </w:rPr>
      </w:pPr>
      <w:r w:rsidRPr="00D4496A">
        <w:rPr>
          <w:rFonts w:ascii="Cambria" w:hAnsi="Cambria" w:cs="Arial"/>
          <w:sz w:val="23"/>
          <w:szCs w:val="23"/>
        </w:rPr>
        <w:t>Prefeito do Município</w:t>
      </w:r>
    </w:p>
    <w:p w14:paraId="5849335B" w14:textId="3A01CFD0" w:rsidR="00092385" w:rsidRPr="00D4496A" w:rsidRDefault="00092385" w:rsidP="00D4496A">
      <w:pPr>
        <w:rPr>
          <w:sz w:val="23"/>
          <w:szCs w:val="23"/>
        </w:rPr>
      </w:pPr>
    </w:p>
    <w:sectPr w:rsidR="00092385" w:rsidRPr="00D4496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91D5E" w14:textId="77777777" w:rsidR="00E81AA1" w:rsidRDefault="00E81AA1">
      <w:r>
        <w:separator/>
      </w:r>
    </w:p>
  </w:endnote>
  <w:endnote w:type="continuationSeparator" w:id="0">
    <w:p w14:paraId="648C0F12" w14:textId="77777777" w:rsidR="00E81AA1" w:rsidRDefault="00E8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75D5C6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4496A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45E4E" w14:textId="77777777" w:rsidR="00E81AA1" w:rsidRDefault="00E81AA1">
      <w:r>
        <w:separator/>
      </w:r>
    </w:p>
  </w:footnote>
  <w:footnote w:type="continuationSeparator" w:id="0">
    <w:p w14:paraId="5A25CEC3" w14:textId="77777777" w:rsidR="00E81AA1" w:rsidRDefault="00E81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1A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5B501-5674-4836-A3F2-53E36D6B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1590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2025-03-20T20:05:00Z</cp:lastPrinted>
  <dcterms:created xsi:type="dcterms:W3CDTF">2025-03-31T18:49:00Z</dcterms:created>
  <dcterms:modified xsi:type="dcterms:W3CDTF">2025-03-31T18:49:00Z</dcterms:modified>
</cp:coreProperties>
</file>