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D7252" w14:textId="48F7258A" w:rsidR="00947E91" w:rsidRPr="009A13DB" w:rsidRDefault="00947E91" w:rsidP="00947E9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9A13DB">
        <w:rPr>
          <w:rFonts w:ascii="Cambria" w:hAnsi="Cambria" w:cs="Arial"/>
          <w:b/>
          <w:bCs/>
        </w:rPr>
        <w:t>Decreto nº 2.20</w:t>
      </w:r>
      <w:r w:rsidR="009A13DB">
        <w:rPr>
          <w:rFonts w:ascii="Cambria" w:hAnsi="Cambria" w:cs="Arial"/>
          <w:b/>
          <w:bCs/>
        </w:rPr>
        <w:t>8</w:t>
      </w:r>
      <w:r w:rsidR="009C3F90">
        <w:rPr>
          <w:rFonts w:ascii="Cambria" w:hAnsi="Cambria" w:cs="Arial"/>
          <w:b/>
          <w:bCs/>
        </w:rPr>
        <w:t xml:space="preserve">, de 20 </w:t>
      </w:r>
      <w:r w:rsidRPr="009A13DB">
        <w:rPr>
          <w:rFonts w:ascii="Cambria" w:hAnsi="Cambria" w:cs="Arial"/>
          <w:b/>
          <w:bCs/>
        </w:rPr>
        <w:t>de março 2025.</w:t>
      </w:r>
    </w:p>
    <w:p w14:paraId="63977799" w14:textId="77777777" w:rsidR="00947E91" w:rsidRPr="009A13DB" w:rsidRDefault="00947E91" w:rsidP="00947E91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4D4112F" w14:textId="1DA1156F" w:rsidR="00947E91" w:rsidRPr="009A13DB" w:rsidRDefault="009C3F90" w:rsidP="00947E9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Altera o Decreto nº 1.935, de 29 de julho de 2023 que, regulamenta no âmbito municipal a Nota Fiscal de Serviços Eletrônico – NFS-e</w:t>
      </w:r>
      <w:r w:rsidR="00947E91" w:rsidRPr="009A13DB">
        <w:rPr>
          <w:rFonts w:ascii="Cambria" w:hAnsi="Cambria" w:cs="Arial"/>
          <w:b/>
        </w:rPr>
        <w:t xml:space="preserve">, </w:t>
      </w:r>
      <w:r>
        <w:rPr>
          <w:rFonts w:ascii="Cambria" w:hAnsi="Cambria" w:cs="Arial"/>
          <w:b/>
        </w:rPr>
        <w:t xml:space="preserve">Sistema de Gerenciamento das Notas Fiscais e a sua utilização, disciplinando as obrigações acessórias pela internet, </w:t>
      </w:r>
      <w:r w:rsidR="00947E91" w:rsidRPr="009A13DB">
        <w:rPr>
          <w:rFonts w:ascii="Cambria" w:hAnsi="Cambria" w:cs="Arial"/>
          <w:b/>
        </w:rPr>
        <w:t>e dá outras providências</w:t>
      </w:r>
      <w:r w:rsidR="00947E91" w:rsidRPr="009A13DB">
        <w:rPr>
          <w:rFonts w:ascii="Cambria" w:hAnsi="Cambria" w:cs="Arial"/>
          <w:bCs/>
        </w:rPr>
        <w:t>.</w:t>
      </w:r>
    </w:p>
    <w:p w14:paraId="16A4016F" w14:textId="77777777" w:rsidR="00947E91" w:rsidRPr="009A13DB" w:rsidRDefault="00947E91" w:rsidP="00947E9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2CD7AC22" w14:textId="77777777" w:rsidR="00947E91" w:rsidRPr="009A13DB" w:rsidRDefault="00947E91" w:rsidP="00947E9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8F35FA7" w14:textId="77777777" w:rsidR="00947E91" w:rsidRPr="009A13DB" w:rsidRDefault="00947E91" w:rsidP="00947E91">
      <w:pPr>
        <w:jc w:val="both"/>
        <w:rPr>
          <w:rFonts w:ascii="Cambria" w:hAnsi="Cambria" w:cs="Arial"/>
        </w:rPr>
      </w:pPr>
    </w:p>
    <w:p w14:paraId="5BA9788F" w14:textId="4B0A78AA" w:rsidR="00947E91" w:rsidRPr="009A13DB" w:rsidRDefault="00947E91" w:rsidP="00947E91">
      <w:pPr>
        <w:ind w:firstLine="1418"/>
        <w:jc w:val="both"/>
        <w:rPr>
          <w:rFonts w:ascii="Cambria" w:hAnsi="Cambria" w:cs="Arial"/>
          <w:bCs/>
        </w:rPr>
      </w:pPr>
      <w:r w:rsidRPr="009A13DB">
        <w:rPr>
          <w:rFonts w:ascii="Cambria" w:hAnsi="Cambria" w:cs="Arial"/>
          <w:bCs/>
        </w:rPr>
        <w:t xml:space="preserve">Considerando </w:t>
      </w:r>
      <w:r w:rsidR="009C3F90">
        <w:rPr>
          <w:rFonts w:ascii="Cambria" w:hAnsi="Cambria" w:cs="Arial"/>
          <w:bCs/>
        </w:rPr>
        <w:t>a necessidade de public</w:t>
      </w:r>
      <w:r w:rsidR="003E4EEF" w:rsidRPr="009A13DB">
        <w:rPr>
          <w:rFonts w:ascii="Cambria" w:hAnsi="Cambria" w:cs="Arial"/>
          <w:bCs/>
        </w:rPr>
        <w:t>ar a mudança de entendimento interpretativo quanto a amplitude da dedução da base de cálculo do Imposto Sobre Serviços de Qualquer Natureza – ISSQN atinente aos serviços de construção civil referidos no § 2º, inciso I, do artigo 7º</w:t>
      </w:r>
      <w:r w:rsidR="006B6E4B" w:rsidRPr="009A13DB">
        <w:rPr>
          <w:rFonts w:ascii="Cambria" w:hAnsi="Cambria" w:cs="Arial"/>
          <w:bCs/>
        </w:rPr>
        <w:t xml:space="preserve"> da Lei Complementar nº 116/2003;</w:t>
      </w:r>
    </w:p>
    <w:p w14:paraId="679B5EE3" w14:textId="0696820E" w:rsidR="006B6E4B" w:rsidRPr="009A13DB" w:rsidRDefault="006B6E4B" w:rsidP="009C3F90">
      <w:pPr>
        <w:jc w:val="both"/>
        <w:rPr>
          <w:rFonts w:ascii="Cambria" w:hAnsi="Cambria" w:cs="Arial"/>
          <w:bCs/>
        </w:rPr>
      </w:pPr>
    </w:p>
    <w:p w14:paraId="2E470A2E" w14:textId="6128D498" w:rsidR="006B6E4B" w:rsidRPr="009A13DB" w:rsidRDefault="006B6E4B" w:rsidP="00947E91">
      <w:pPr>
        <w:ind w:firstLine="1418"/>
        <w:jc w:val="both"/>
        <w:rPr>
          <w:rFonts w:ascii="Cambria" w:hAnsi="Cambria" w:cs="Arial"/>
          <w:bCs/>
        </w:rPr>
      </w:pPr>
      <w:r w:rsidRPr="009A13DB">
        <w:rPr>
          <w:rFonts w:ascii="Cambria" w:hAnsi="Cambria" w:cs="Arial"/>
          <w:bCs/>
        </w:rPr>
        <w:t xml:space="preserve">Considerando o Ofício nº 046/2024/DF, informando sobre o entendimento do Superior Tribunal de Justiça, sobre a dedução do material aplicado na dedução da base de </w:t>
      </w:r>
      <w:r w:rsidR="009A13DB" w:rsidRPr="009A13DB">
        <w:rPr>
          <w:rFonts w:ascii="Cambria" w:hAnsi="Cambria" w:cs="Arial"/>
          <w:bCs/>
        </w:rPr>
        <w:t>cálculo</w:t>
      </w:r>
      <w:r w:rsidRPr="009A13DB">
        <w:rPr>
          <w:rFonts w:ascii="Cambria" w:hAnsi="Cambria" w:cs="Arial"/>
          <w:bCs/>
        </w:rPr>
        <w:t xml:space="preserve"> do Imposto sobre Serviços – ISS, nos serviços da construção civil;</w:t>
      </w:r>
    </w:p>
    <w:p w14:paraId="71D8AFFC" w14:textId="5C5698D6" w:rsidR="006B6E4B" w:rsidRPr="009A13DB" w:rsidRDefault="006B6E4B" w:rsidP="00947E91">
      <w:pPr>
        <w:ind w:firstLine="1418"/>
        <w:jc w:val="both"/>
        <w:rPr>
          <w:rFonts w:ascii="Cambria" w:hAnsi="Cambria" w:cs="Arial"/>
          <w:bCs/>
        </w:rPr>
      </w:pPr>
    </w:p>
    <w:p w14:paraId="01321FB0" w14:textId="11E5CB2F" w:rsidR="006B6E4B" w:rsidRPr="009A13DB" w:rsidRDefault="006B6E4B" w:rsidP="00947E91">
      <w:pPr>
        <w:ind w:firstLine="1418"/>
        <w:jc w:val="both"/>
        <w:rPr>
          <w:rFonts w:ascii="Cambria" w:hAnsi="Cambria" w:cs="Arial"/>
          <w:bCs/>
        </w:rPr>
      </w:pPr>
      <w:r w:rsidRPr="009A13DB">
        <w:rPr>
          <w:rFonts w:ascii="Cambria" w:hAnsi="Cambria" w:cs="Arial"/>
          <w:bCs/>
        </w:rPr>
        <w:t>Considerando o Parecer Técnico Jurídico nº 145/2024/PGM, que referente ao Decreto Municipal nº 1.935/2023, que opina pela revogação do inciso I, alíneas “a” até a alínea “k” do art. 11 d</w:t>
      </w:r>
      <w:r w:rsidR="00A22464" w:rsidRPr="009A13DB">
        <w:rPr>
          <w:rFonts w:ascii="Cambria" w:hAnsi="Cambria" w:cs="Arial"/>
          <w:bCs/>
        </w:rPr>
        <w:t>o referido decreto, para adequação da legislação ao entendimento jurisprudencial.</w:t>
      </w:r>
      <w:r w:rsidRPr="009A13DB">
        <w:rPr>
          <w:rFonts w:ascii="Cambria" w:hAnsi="Cambria" w:cs="Arial"/>
          <w:bCs/>
        </w:rPr>
        <w:t xml:space="preserve"> </w:t>
      </w:r>
    </w:p>
    <w:p w14:paraId="0F82FF90" w14:textId="77777777" w:rsidR="00947E91" w:rsidRPr="009A13DB" w:rsidRDefault="00947E91" w:rsidP="00947E91">
      <w:pPr>
        <w:jc w:val="both"/>
        <w:rPr>
          <w:rFonts w:ascii="Cambria" w:hAnsi="Cambria" w:cs="Arial"/>
        </w:rPr>
      </w:pPr>
    </w:p>
    <w:p w14:paraId="2F92E339" w14:textId="77777777" w:rsidR="00947E91" w:rsidRPr="009A13DB" w:rsidRDefault="00947E91" w:rsidP="00947E91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DECRETA:</w:t>
      </w:r>
    </w:p>
    <w:p w14:paraId="3123C61E" w14:textId="77777777" w:rsidR="00947E91" w:rsidRPr="009A13DB" w:rsidRDefault="00947E91" w:rsidP="00947E91">
      <w:pPr>
        <w:ind w:firstLine="1418"/>
        <w:jc w:val="both"/>
        <w:rPr>
          <w:rFonts w:ascii="Cambria" w:hAnsi="Cambria" w:cs="Arial"/>
        </w:rPr>
      </w:pPr>
    </w:p>
    <w:p w14:paraId="1288E815" w14:textId="1EC8E4A9" w:rsidR="003E4EEF" w:rsidRPr="009A13DB" w:rsidRDefault="003E4EEF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Art. 1º Fica alterado o art. 11, I e alíneas “a” a “k” do Decreto nº 1.935/2018, passando a vigorar com nova redação.</w:t>
      </w:r>
    </w:p>
    <w:p w14:paraId="6C1CE250" w14:textId="2A5F3F3B" w:rsidR="003E4EEF" w:rsidRPr="009A13DB" w:rsidRDefault="00A22464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(...)</w:t>
      </w:r>
    </w:p>
    <w:p w14:paraId="53926C55" w14:textId="7A850374" w:rsidR="009A13DB" w:rsidRPr="009A13DB" w:rsidRDefault="002A6CEC" w:rsidP="009C3F90">
      <w:pPr>
        <w:ind w:left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Art. 11.</w:t>
      </w:r>
      <w:r w:rsidR="00EB207D" w:rsidRPr="009A13DB">
        <w:rPr>
          <w:rFonts w:ascii="Cambria" w:hAnsi="Cambria" w:cs="Arial"/>
        </w:rPr>
        <w:t xml:space="preserve"> A base de cálculo do ISSQN da construção civil é o preço total dos serviços</w:t>
      </w:r>
      <w:r w:rsidR="009A13DB">
        <w:rPr>
          <w:rFonts w:ascii="Cambria" w:hAnsi="Cambria" w:cs="Arial"/>
        </w:rPr>
        <w:t xml:space="preserve"> contratados</w:t>
      </w:r>
      <w:r w:rsidR="009C3F90">
        <w:rPr>
          <w:rFonts w:ascii="Cambria" w:hAnsi="Cambria" w:cs="Arial"/>
        </w:rPr>
        <w:t>.</w:t>
      </w:r>
      <w:r w:rsidR="00EB207D" w:rsidRPr="009A13DB">
        <w:rPr>
          <w:rFonts w:ascii="Cambria" w:hAnsi="Cambria" w:cs="Arial"/>
        </w:rPr>
        <w:t xml:space="preserve"> </w:t>
      </w:r>
    </w:p>
    <w:p w14:paraId="33762B9C" w14:textId="73A2B106" w:rsidR="003E4EEF" w:rsidRPr="009A13DB" w:rsidRDefault="002A6CEC" w:rsidP="009A13DB">
      <w:pPr>
        <w:ind w:left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I – </w:t>
      </w:r>
      <w:r w:rsidR="00EB207D" w:rsidRPr="009A13DB">
        <w:rPr>
          <w:rFonts w:ascii="Cambria" w:hAnsi="Cambria" w:cs="Arial"/>
        </w:rPr>
        <w:t xml:space="preserve">Não cabe quaisquer retenções, deduções da base de cálculo do ISSQN, no </w:t>
      </w:r>
      <w:r w:rsidRPr="009A13DB">
        <w:rPr>
          <w:rFonts w:ascii="Cambria" w:hAnsi="Cambria" w:cs="Arial"/>
        </w:rPr>
        <w:t>caso das atividades da construção civil, atividades de concretagem e congêneres – itens 7.02 e 7.05 da lista de serviços dispostas na Lei Complementar nº 086/2011</w:t>
      </w:r>
      <w:r w:rsidR="003E4EEF" w:rsidRPr="009A13DB">
        <w:rPr>
          <w:rFonts w:ascii="Cambria" w:hAnsi="Cambria" w:cs="Arial"/>
        </w:rPr>
        <w:t>, exceto, mediante a devida comprovação, com relação a mat</w:t>
      </w:r>
      <w:r w:rsidR="009A13DB">
        <w:rPr>
          <w:rFonts w:ascii="Cambria" w:hAnsi="Cambria" w:cs="Arial"/>
        </w:rPr>
        <w:t>e</w:t>
      </w:r>
      <w:r w:rsidR="003E4EEF" w:rsidRPr="009A13DB">
        <w:rPr>
          <w:rFonts w:ascii="Cambria" w:hAnsi="Cambria" w:cs="Arial"/>
        </w:rPr>
        <w:t>ria</w:t>
      </w:r>
      <w:r w:rsidR="009A13DB">
        <w:rPr>
          <w:rFonts w:ascii="Cambria" w:hAnsi="Cambria" w:cs="Arial"/>
        </w:rPr>
        <w:t>i</w:t>
      </w:r>
      <w:r w:rsidR="003E4EEF" w:rsidRPr="009A13DB">
        <w:rPr>
          <w:rFonts w:ascii="Cambria" w:hAnsi="Cambria" w:cs="Arial"/>
        </w:rPr>
        <w:t xml:space="preserve">s produzidos pelo próprio prestador fora do local da obra, desde que estejam destacados e comercializados com a incidência do Imposto sobre Circulação de Mercadorias e Serviços – </w:t>
      </w:r>
      <w:r w:rsidR="009A13DB">
        <w:rPr>
          <w:rFonts w:ascii="Cambria" w:hAnsi="Cambria" w:cs="Arial"/>
        </w:rPr>
        <w:t>I</w:t>
      </w:r>
      <w:r w:rsidR="003E4EEF" w:rsidRPr="009A13DB">
        <w:rPr>
          <w:rFonts w:ascii="Cambria" w:hAnsi="Cambria" w:cs="Arial"/>
        </w:rPr>
        <w:t xml:space="preserve">CMS. </w:t>
      </w:r>
    </w:p>
    <w:p w14:paraId="3B2BE1A3" w14:textId="7A80EE42" w:rsidR="002A6CEC" w:rsidRPr="009A13DB" w:rsidRDefault="002A6CEC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a) </w:t>
      </w:r>
      <w:r w:rsidR="003E4EEF" w:rsidRPr="009A13DB">
        <w:rPr>
          <w:rFonts w:ascii="Cambria" w:hAnsi="Cambria" w:cs="Arial"/>
        </w:rPr>
        <w:t>revogado;</w:t>
      </w:r>
    </w:p>
    <w:p w14:paraId="00AB73CF" w14:textId="0C1DE7B7" w:rsidR="003E4EEF" w:rsidRPr="009A13DB" w:rsidRDefault="002A6CEC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b) </w:t>
      </w:r>
      <w:r w:rsidR="003E4EEF" w:rsidRPr="009A13DB">
        <w:rPr>
          <w:rFonts w:ascii="Cambria" w:hAnsi="Cambria" w:cs="Arial"/>
        </w:rPr>
        <w:t>revogado;</w:t>
      </w:r>
    </w:p>
    <w:p w14:paraId="31C222EE" w14:textId="1B930E2C" w:rsidR="003E4EEF" w:rsidRPr="009A13DB" w:rsidRDefault="002A6CEC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c) </w:t>
      </w:r>
      <w:r w:rsidR="003E4EEF" w:rsidRPr="009A13DB">
        <w:rPr>
          <w:rFonts w:ascii="Cambria" w:hAnsi="Cambria" w:cs="Arial"/>
        </w:rPr>
        <w:t>revogado;</w:t>
      </w:r>
    </w:p>
    <w:p w14:paraId="216D6334" w14:textId="48C4F42B" w:rsidR="003E4EEF" w:rsidRPr="009A13DB" w:rsidRDefault="002A6CEC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d) </w:t>
      </w:r>
      <w:r w:rsidR="003E4EEF" w:rsidRPr="009A13DB">
        <w:rPr>
          <w:rFonts w:ascii="Cambria" w:hAnsi="Cambria" w:cs="Arial"/>
        </w:rPr>
        <w:t>revogado;</w:t>
      </w:r>
    </w:p>
    <w:p w14:paraId="535831FD" w14:textId="39ABFADF" w:rsidR="003E4EEF" w:rsidRPr="009A13DB" w:rsidRDefault="002A6CEC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e) </w:t>
      </w:r>
      <w:r w:rsidR="003E4EEF" w:rsidRPr="009A13DB">
        <w:rPr>
          <w:rFonts w:ascii="Cambria" w:hAnsi="Cambria" w:cs="Arial"/>
        </w:rPr>
        <w:t>revogado;</w:t>
      </w:r>
    </w:p>
    <w:p w14:paraId="122E326E" w14:textId="41E51E4B" w:rsidR="003E4EEF" w:rsidRPr="009A13DB" w:rsidRDefault="002A6CEC" w:rsidP="002A6CEC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lastRenderedPageBreak/>
        <w:t xml:space="preserve">f) </w:t>
      </w:r>
      <w:r w:rsidR="003E4EEF" w:rsidRPr="009A13DB">
        <w:rPr>
          <w:rFonts w:ascii="Cambria" w:hAnsi="Cambria" w:cs="Arial"/>
        </w:rPr>
        <w:t>revogado;</w:t>
      </w:r>
    </w:p>
    <w:p w14:paraId="31A7C632" w14:textId="77777777" w:rsidR="003E4EEF" w:rsidRPr="009A13DB" w:rsidRDefault="002A6CEC" w:rsidP="003E4EEF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g) </w:t>
      </w:r>
      <w:r w:rsidR="003E4EEF" w:rsidRPr="009A13DB">
        <w:rPr>
          <w:rFonts w:ascii="Cambria" w:hAnsi="Cambria" w:cs="Arial"/>
        </w:rPr>
        <w:t>revogado;</w:t>
      </w:r>
    </w:p>
    <w:p w14:paraId="3E7BDC08" w14:textId="752D46C2" w:rsidR="002A6CEC" w:rsidRPr="009A13DB" w:rsidRDefault="002A6CEC" w:rsidP="003E4EEF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h) </w:t>
      </w:r>
      <w:r w:rsidR="003E4EEF" w:rsidRPr="009A13DB">
        <w:rPr>
          <w:rFonts w:ascii="Cambria" w:hAnsi="Cambria" w:cs="Arial"/>
        </w:rPr>
        <w:t>revogado;</w:t>
      </w:r>
    </w:p>
    <w:p w14:paraId="70182AD6" w14:textId="77777777" w:rsidR="003E4EEF" w:rsidRPr="009A13DB" w:rsidRDefault="002A6CEC" w:rsidP="003E4EEF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i) </w:t>
      </w:r>
      <w:r w:rsidR="003E4EEF" w:rsidRPr="009A13DB">
        <w:rPr>
          <w:rFonts w:ascii="Cambria" w:hAnsi="Cambria" w:cs="Arial"/>
        </w:rPr>
        <w:t>revogado;</w:t>
      </w:r>
    </w:p>
    <w:p w14:paraId="23952CC0" w14:textId="77777777" w:rsidR="003E4EEF" w:rsidRPr="009A13DB" w:rsidRDefault="002A6CEC" w:rsidP="003E4EEF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j) </w:t>
      </w:r>
      <w:r w:rsidR="003E4EEF" w:rsidRPr="009A13DB">
        <w:rPr>
          <w:rFonts w:ascii="Cambria" w:hAnsi="Cambria" w:cs="Arial"/>
        </w:rPr>
        <w:t>revogado;</w:t>
      </w:r>
    </w:p>
    <w:p w14:paraId="6D5C75CA" w14:textId="2ECE9405" w:rsidR="00EB207D" w:rsidRPr="009A13DB" w:rsidRDefault="002A6CEC" w:rsidP="009A13DB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k) </w:t>
      </w:r>
      <w:r w:rsidR="009A13DB" w:rsidRPr="009A13DB">
        <w:rPr>
          <w:rFonts w:ascii="Cambria" w:hAnsi="Cambria" w:cs="Arial"/>
        </w:rPr>
        <w:t>revogado.</w:t>
      </w:r>
    </w:p>
    <w:p w14:paraId="629005DB" w14:textId="77777777" w:rsidR="00EB207D" w:rsidRPr="009A13DB" w:rsidRDefault="00EB207D" w:rsidP="00947E91">
      <w:pPr>
        <w:ind w:firstLine="1418"/>
        <w:jc w:val="both"/>
        <w:rPr>
          <w:rFonts w:ascii="Cambria" w:hAnsi="Cambria" w:cs="Arial"/>
        </w:rPr>
      </w:pPr>
    </w:p>
    <w:p w14:paraId="227A7A63" w14:textId="36E0A112" w:rsidR="00947E91" w:rsidRPr="009A13DB" w:rsidRDefault="00947E91" w:rsidP="00947E91">
      <w:pPr>
        <w:ind w:firstLine="1418"/>
        <w:jc w:val="both"/>
        <w:rPr>
          <w:rFonts w:ascii="Cambria" w:hAnsi="Cambria" w:cs="Arial"/>
        </w:rPr>
      </w:pPr>
      <w:r w:rsidRPr="009A13DB">
        <w:rPr>
          <w:rFonts w:ascii="Cambria" w:hAnsi="Cambria" w:cs="Arial"/>
        </w:rPr>
        <w:t>Art. 3º Este Decreto entra em vigor na data de sua publicação.</w:t>
      </w:r>
    </w:p>
    <w:p w14:paraId="06A63466" w14:textId="2E59F580" w:rsidR="00F74A23" w:rsidRPr="009A13DB" w:rsidRDefault="00F74A23" w:rsidP="00947E91">
      <w:pPr>
        <w:jc w:val="both"/>
        <w:rPr>
          <w:rFonts w:ascii="Cambria" w:hAnsi="Cambria" w:cs="Arial"/>
        </w:rPr>
      </w:pPr>
    </w:p>
    <w:p w14:paraId="3134ECBF" w14:textId="77777777" w:rsidR="00F74A23" w:rsidRPr="009A13DB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566B1DFF" w14:textId="77777777" w:rsidR="00F74A23" w:rsidRPr="009A13DB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666AABD5" w14:textId="77777777" w:rsidR="00F74A23" w:rsidRPr="009A13DB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</w:rPr>
        <w:t>Governo Municipal de Juara, Estado de Mato</w:t>
      </w:r>
    </w:p>
    <w:p w14:paraId="254EEF4F" w14:textId="39DF9741" w:rsidR="00F74A23" w:rsidRPr="009A13DB" w:rsidRDefault="00F74A23" w:rsidP="00F74A23">
      <w:pPr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</w:rPr>
        <w:t xml:space="preserve">Grosso, </w:t>
      </w:r>
      <w:r w:rsidR="009C3F90">
        <w:rPr>
          <w:rFonts w:ascii="Cambria" w:hAnsi="Cambria" w:cs="Arial"/>
        </w:rPr>
        <w:t>20</w:t>
      </w:r>
      <w:bookmarkStart w:id="0" w:name="_GoBack"/>
      <w:bookmarkEnd w:id="0"/>
      <w:r w:rsidRPr="009A13DB">
        <w:rPr>
          <w:rFonts w:ascii="Cambria" w:hAnsi="Cambria" w:cs="Arial"/>
        </w:rPr>
        <w:t xml:space="preserve"> de </w:t>
      </w:r>
      <w:r w:rsidR="00947E91" w:rsidRPr="009A13DB">
        <w:rPr>
          <w:rFonts w:ascii="Cambria" w:hAnsi="Cambria" w:cs="Arial"/>
        </w:rPr>
        <w:t>março</w:t>
      </w:r>
      <w:r w:rsidRPr="009A13DB">
        <w:rPr>
          <w:rFonts w:ascii="Cambria" w:hAnsi="Cambria" w:cs="Arial"/>
        </w:rPr>
        <w:t xml:space="preserve"> de 2025.</w:t>
      </w:r>
    </w:p>
    <w:p w14:paraId="603F76E0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7DC04CA8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5549CEB4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0B8BAB08" w14:textId="77777777" w:rsidR="00F74A23" w:rsidRPr="009A13DB" w:rsidRDefault="00F74A23" w:rsidP="00F74A23">
      <w:pPr>
        <w:jc w:val="both"/>
        <w:rPr>
          <w:rFonts w:ascii="Cambria" w:hAnsi="Cambria" w:cs="Arial"/>
        </w:rPr>
      </w:pPr>
    </w:p>
    <w:p w14:paraId="082D0B01" w14:textId="77777777" w:rsidR="00F74A23" w:rsidRPr="009A13DB" w:rsidRDefault="00F74A23" w:rsidP="00F74A23">
      <w:pPr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  <w:b/>
          <w:bCs/>
        </w:rPr>
        <w:t>Valdinei Holanda Moraes</w:t>
      </w:r>
    </w:p>
    <w:p w14:paraId="430BE893" w14:textId="77777777" w:rsidR="00F74A23" w:rsidRPr="009A13DB" w:rsidRDefault="00F74A23" w:rsidP="00F74A23">
      <w:pPr>
        <w:jc w:val="center"/>
        <w:rPr>
          <w:rFonts w:ascii="Cambria" w:hAnsi="Cambria" w:cs="Arial"/>
        </w:rPr>
      </w:pPr>
      <w:r w:rsidRPr="009A13DB">
        <w:rPr>
          <w:rFonts w:ascii="Cambria" w:hAnsi="Cambria" w:cs="Arial"/>
        </w:rPr>
        <w:t>Prefeito do Município</w:t>
      </w:r>
    </w:p>
    <w:p w14:paraId="13E69B79" w14:textId="434A3D02" w:rsidR="005C68F3" w:rsidRPr="009A13DB" w:rsidRDefault="005C68F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</w:p>
    <w:sectPr w:rsidR="005C68F3" w:rsidRPr="009A13D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23CDA" w14:textId="77777777" w:rsidR="00344D6E" w:rsidRDefault="00344D6E">
      <w:r>
        <w:separator/>
      </w:r>
    </w:p>
  </w:endnote>
  <w:endnote w:type="continuationSeparator" w:id="0">
    <w:p w14:paraId="74F5377E" w14:textId="77777777" w:rsidR="00344D6E" w:rsidRDefault="00344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BFEB35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C3F90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C0A9C" w14:textId="77777777" w:rsidR="00344D6E" w:rsidRDefault="00344D6E">
      <w:r>
        <w:separator/>
      </w:r>
    </w:p>
  </w:footnote>
  <w:footnote w:type="continuationSeparator" w:id="0">
    <w:p w14:paraId="46EA770F" w14:textId="77777777" w:rsidR="00344D6E" w:rsidRDefault="00344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2FF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6CEC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C78D2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4D6E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4EEF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89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100A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B6E4B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BE1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47E91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13DB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3F90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464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50F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1B7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10B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24C0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207D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4A23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45C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D12B1-CDDA-4CDD-AFCF-9391CA2E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362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2317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2025-03-17T20:13:00Z</cp:lastPrinted>
  <dcterms:created xsi:type="dcterms:W3CDTF">2025-03-17T21:11:00Z</dcterms:created>
  <dcterms:modified xsi:type="dcterms:W3CDTF">2025-04-17T14:33:00Z</dcterms:modified>
</cp:coreProperties>
</file>