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2CC2F" w14:textId="2AAC5F2D" w:rsidR="006D75CD" w:rsidRPr="00DA6C49" w:rsidRDefault="006D75CD" w:rsidP="006D75CD">
      <w:pPr>
        <w:spacing w:after="0" w:line="240" w:lineRule="auto"/>
        <w:contextualSpacing/>
        <w:jc w:val="center"/>
        <w:rPr>
          <w:rFonts w:ascii="Cambria" w:eastAsia="Times New Roman" w:hAnsi="Cambria" w:cs="Arial"/>
          <w:sz w:val="23"/>
          <w:szCs w:val="23"/>
          <w:lang w:eastAsia="pt-BR"/>
        </w:rPr>
      </w:pPr>
      <w:r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Decreto nº </w:t>
      </w:r>
      <w:r w:rsidR="00E32655"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2.196, de 13</w:t>
      </w:r>
      <w:r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</w:t>
      </w:r>
      <w:r w:rsidR="00E32655"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fevereiro</w:t>
      </w:r>
      <w:r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202</w:t>
      </w:r>
      <w:r w:rsidR="00E32655"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5</w:t>
      </w:r>
      <w:r w:rsidRPr="00DA6C49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.</w:t>
      </w:r>
    </w:p>
    <w:p w14:paraId="2DF4ABD4" w14:textId="77777777" w:rsidR="00037CA8" w:rsidRPr="00DA6C49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E70B025" w14:textId="7C44CD1D" w:rsidR="00037CA8" w:rsidRPr="00DA6C49" w:rsidRDefault="00037CA8" w:rsidP="00037CA8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b/>
          <w:sz w:val="23"/>
          <w:szCs w:val="23"/>
        </w:rPr>
        <w:t xml:space="preserve">Dispõe sobre aprovação do loteamento denominado </w:t>
      </w:r>
      <w:r w:rsidR="004F34BB" w:rsidRPr="00DA6C49">
        <w:rPr>
          <w:rFonts w:ascii="Cambria" w:hAnsi="Cambria" w:cs="Arial"/>
          <w:b/>
          <w:sz w:val="23"/>
          <w:szCs w:val="23"/>
        </w:rPr>
        <w:t>Jardim Kairós II</w:t>
      </w:r>
      <w:r w:rsidRPr="00DA6C49">
        <w:rPr>
          <w:rFonts w:ascii="Cambria" w:hAnsi="Cambria" w:cs="Arial"/>
          <w:b/>
          <w:sz w:val="23"/>
          <w:szCs w:val="23"/>
        </w:rPr>
        <w:t>, no perímetro urbano de Juara, e dá outras providências.</w:t>
      </w:r>
    </w:p>
    <w:p w14:paraId="642243E5" w14:textId="77777777" w:rsidR="00037CA8" w:rsidRPr="00DA6C49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1939AD6" w14:textId="77777777" w:rsidR="00037CA8" w:rsidRPr="00DA6C49" w:rsidRDefault="00037CA8" w:rsidP="006207A5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66A7B3C5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AA876F7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DA6C49">
        <w:rPr>
          <w:rFonts w:ascii="Cambria" w:hAnsi="Cambria" w:cs="Arial"/>
          <w:color w:val="000000"/>
          <w:sz w:val="23"/>
          <w:szCs w:val="23"/>
        </w:rPr>
        <w:t>Considerando a Lei Federal nº 6.766/1979, que dispõe sobre as regras gerais de Parcelamento Urbano;</w:t>
      </w:r>
    </w:p>
    <w:p w14:paraId="3BE8B8DF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6A09265D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DA6C49">
        <w:rPr>
          <w:rFonts w:ascii="Cambria" w:hAnsi="Cambria" w:cs="Arial"/>
          <w:color w:val="000000"/>
          <w:sz w:val="23"/>
          <w:szCs w:val="23"/>
        </w:rPr>
        <w:t>Considerando as disposições da Lei Complementar nº 019, de 17 de novembro de 2006, legislação municipal;</w:t>
      </w:r>
    </w:p>
    <w:p w14:paraId="7C11B870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EDDAE27" w14:textId="188A486F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DA6C49">
        <w:rPr>
          <w:rFonts w:ascii="Cambria" w:hAnsi="Cambria" w:cs="Arial"/>
          <w:color w:val="000000"/>
          <w:sz w:val="23"/>
          <w:szCs w:val="23"/>
        </w:rPr>
        <w:t xml:space="preserve">Considerando o cumprimento dos requisitos legais pelo empreendimento denominado Loteamento </w:t>
      </w:r>
      <w:r w:rsidR="000D620E" w:rsidRPr="00DA6C49">
        <w:rPr>
          <w:rFonts w:ascii="Cambria" w:hAnsi="Cambria" w:cs="Arial"/>
          <w:bCs/>
          <w:sz w:val="23"/>
          <w:szCs w:val="23"/>
        </w:rPr>
        <w:t>Jardim Kairós II</w:t>
      </w:r>
      <w:r w:rsidRPr="00DA6C49">
        <w:rPr>
          <w:rFonts w:ascii="Cambria" w:hAnsi="Cambria" w:cs="Arial"/>
          <w:color w:val="000000"/>
          <w:sz w:val="23"/>
          <w:szCs w:val="23"/>
        </w:rPr>
        <w:t>;</w:t>
      </w:r>
    </w:p>
    <w:p w14:paraId="296EE59C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9E2F3F2" w14:textId="60F7201F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DA6C49">
        <w:rPr>
          <w:rFonts w:ascii="Cambria" w:hAnsi="Cambria" w:cs="Arial"/>
          <w:color w:val="000000"/>
          <w:sz w:val="23"/>
          <w:szCs w:val="23"/>
        </w:rPr>
        <w:t>Considerando a Lei Municipal n°</w:t>
      </w:r>
      <w:r w:rsidR="006D75CD" w:rsidRPr="00DA6C49">
        <w:rPr>
          <w:rFonts w:ascii="Cambria" w:hAnsi="Cambria" w:cs="Arial"/>
          <w:color w:val="000000"/>
          <w:sz w:val="23"/>
          <w:szCs w:val="23"/>
        </w:rPr>
        <w:t xml:space="preserve"> 3.1</w:t>
      </w:r>
      <w:r w:rsidR="004F34BB" w:rsidRPr="00DA6C49">
        <w:rPr>
          <w:rFonts w:ascii="Cambria" w:hAnsi="Cambria" w:cs="Arial"/>
          <w:color w:val="000000"/>
          <w:sz w:val="23"/>
          <w:szCs w:val="23"/>
        </w:rPr>
        <w:t>88</w:t>
      </w:r>
      <w:r w:rsidR="006D75CD" w:rsidRPr="00DA6C49">
        <w:rPr>
          <w:rFonts w:ascii="Cambria" w:hAnsi="Cambria" w:cs="Arial"/>
          <w:color w:val="000000"/>
          <w:sz w:val="23"/>
          <w:szCs w:val="23"/>
        </w:rPr>
        <w:t xml:space="preserve"> </w:t>
      </w:r>
      <w:r w:rsidRPr="00DA6C49">
        <w:rPr>
          <w:rFonts w:ascii="Cambria" w:hAnsi="Cambria" w:cs="Arial"/>
          <w:color w:val="000000"/>
          <w:sz w:val="23"/>
          <w:szCs w:val="23"/>
        </w:rPr>
        <w:t xml:space="preserve">que aprovou o loteamento </w:t>
      </w:r>
      <w:r w:rsidR="004F34BB" w:rsidRPr="00DA6C49">
        <w:rPr>
          <w:rFonts w:ascii="Cambria" w:hAnsi="Cambria" w:cs="Arial"/>
          <w:bCs/>
          <w:sz w:val="23"/>
          <w:szCs w:val="23"/>
        </w:rPr>
        <w:t xml:space="preserve">Jardim </w:t>
      </w:r>
      <w:proofErr w:type="spellStart"/>
      <w:r w:rsidR="004F34BB" w:rsidRPr="00DA6C49">
        <w:rPr>
          <w:rFonts w:ascii="Cambria" w:hAnsi="Cambria" w:cs="Arial"/>
          <w:bCs/>
          <w:sz w:val="23"/>
          <w:szCs w:val="23"/>
        </w:rPr>
        <w:t>Kairós</w:t>
      </w:r>
      <w:proofErr w:type="spellEnd"/>
      <w:r w:rsidR="004F34BB" w:rsidRPr="00DA6C49">
        <w:rPr>
          <w:rFonts w:ascii="Cambria" w:hAnsi="Cambria" w:cs="Arial"/>
          <w:bCs/>
          <w:sz w:val="23"/>
          <w:szCs w:val="23"/>
        </w:rPr>
        <w:t xml:space="preserve"> II</w:t>
      </w:r>
      <w:r w:rsidR="006D75CD" w:rsidRPr="00DA6C49">
        <w:rPr>
          <w:rFonts w:ascii="Cambria" w:hAnsi="Cambria" w:cs="Arial"/>
          <w:bCs/>
          <w:sz w:val="23"/>
          <w:szCs w:val="23"/>
        </w:rPr>
        <w:t>;</w:t>
      </w:r>
    </w:p>
    <w:p w14:paraId="09F3F801" w14:textId="3FA83ED2" w:rsidR="00E32655" w:rsidRPr="00DA6C49" w:rsidRDefault="00E32655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sz w:val="23"/>
          <w:szCs w:val="23"/>
        </w:rPr>
      </w:pPr>
    </w:p>
    <w:p w14:paraId="347EC2C6" w14:textId="34656F77" w:rsidR="00E32655" w:rsidRPr="00DA6C49" w:rsidRDefault="00E32655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DA6C49">
        <w:rPr>
          <w:rFonts w:ascii="Cambria" w:hAnsi="Cambria" w:cs="Arial"/>
          <w:bCs/>
          <w:sz w:val="23"/>
          <w:szCs w:val="23"/>
        </w:rPr>
        <w:t>Considerando a edição de novo Decreto de aprovação do referido loteamento, para fins de Registro no CRI de Juara, devido a caducidade do Decreto nº 2.082/2024.</w:t>
      </w:r>
    </w:p>
    <w:p w14:paraId="4468E9BB" w14:textId="77777777" w:rsidR="006D75CD" w:rsidRPr="00DA6C49" w:rsidRDefault="006D75CD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2B54D27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DA6C49">
        <w:rPr>
          <w:rFonts w:ascii="Cambria" w:hAnsi="Cambria" w:cs="Arial"/>
          <w:color w:val="000000"/>
          <w:sz w:val="23"/>
          <w:szCs w:val="23"/>
        </w:rPr>
        <w:t>Decreta:</w:t>
      </w:r>
    </w:p>
    <w:p w14:paraId="705D9A85" w14:textId="77777777" w:rsidR="00037CA8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ADCEECF" w14:textId="77777777" w:rsidR="006207A5" w:rsidRPr="00DA6C49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Pr="00DA6C49">
        <w:rPr>
          <w:rFonts w:ascii="Cambria" w:hAnsi="Cambria" w:cs="Arial"/>
          <w:sz w:val="23"/>
          <w:szCs w:val="23"/>
        </w:rPr>
        <w:t xml:space="preserve">Fica aprovado o loteamento urbano denominado </w:t>
      </w:r>
      <w:r w:rsidR="004F34BB" w:rsidRPr="00DA6C49">
        <w:rPr>
          <w:rFonts w:ascii="Cambria" w:hAnsi="Cambria" w:cs="Arial"/>
          <w:bCs/>
          <w:sz w:val="23"/>
          <w:szCs w:val="23"/>
        </w:rPr>
        <w:t>Jardim Kairós II</w:t>
      </w:r>
      <w:r w:rsidRPr="00DA6C49">
        <w:rPr>
          <w:rFonts w:ascii="Cambria" w:hAnsi="Cambria" w:cs="Arial"/>
          <w:sz w:val="23"/>
          <w:szCs w:val="23"/>
        </w:rPr>
        <w:t>, localizado</w:t>
      </w:r>
      <w:r w:rsidR="004F34BB" w:rsidRPr="00DA6C49">
        <w:rPr>
          <w:rFonts w:ascii="Cambria" w:hAnsi="Cambria" w:cs="Arial"/>
          <w:sz w:val="23"/>
          <w:szCs w:val="23"/>
        </w:rPr>
        <w:t xml:space="preserve"> no</w:t>
      </w:r>
      <w:r w:rsidRPr="00DA6C49">
        <w:rPr>
          <w:rFonts w:ascii="Cambria" w:hAnsi="Cambria" w:cs="Arial"/>
          <w:sz w:val="23"/>
          <w:szCs w:val="23"/>
        </w:rPr>
        <w:t xml:space="preserve"> </w:t>
      </w:r>
      <w:r w:rsidR="004F34BB" w:rsidRPr="00DA6C49">
        <w:rPr>
          <w:rFonts w:ascii="Cambria" w:hAnsi="Cambria" w:cs="Arial"/>
          <w:sz w:val="23"/>
          <w:szCs w:val="23"/>
        </w:rPr>
        <w:t>prolongamento da Avenida Ayrton Senna, estrada vicinal, Zona Leste da Gleba Taquaral, saída para Novo Horizonte do Norte</w:t>
      </w:r>
      <w:r w:rsidR="006D75CD" w:rsidRPr="00DA6C49">
        <w:rPr>
          <w:rFonts w:ascii="Cambria" w:hAnsi="Cambria" w:cs="Arial"/>
          <w:sz w:val="23"/>
          <w:szCs w:val="23"/>
        </w:rPr>
        <w:t>, nesta cidade de Juara/MT</w:t>
      </w:r>
      <w:r w:rsidRPr="00DA6C49">
        <w:rPr>
          <w:rFonts w:ascii="Cambria" w:hAnsi="Cambria" w:cs="Arial"/>
          <w:sz w:val="23"/>
          <w:szCs w:val="23"/>
        </w:rPr>
        <w:t xml:space="preserve">, com área total de </w:t>
      </w:r>
      <w:r w:rsidR="004F34BB" w:rsidRPr="00DA6C49">
        <w:rPr>
          <w:rFonts w:ascii="Cambria" w:hAnsi="Cambria" w:cs="Arial"/>
          <w:sz w:val="23"/>
          <w:szCs w:val="23"/>
        </w:rPr>
        <w:t>96.659,55m² (noventa e seis mil, seiscentos e cinquenta e nove virgula cinquenta e cinco metros quadrados</w:t>
      </w:r>
      <w:r w:rsidR="006D75CD" w:rsidRPr="00DA6C49">
        <w:rPr>
          <w:rFonts w:ascii="Cambria" w:hAnsi="Cambria" w:cs="Arial"/>
          <w:sz w:val="23"/>
          <w:szCs w:val="23"/>
        </w:rPr>
        <w:t xml:space="preserve">), </w:t>
      </w:r>
      <w:r w:rsidRPr="00DA6C49">
        <w:rPr>
          <w:rFonts w:ascii="Cambria" w:hAnsi="Cambria" w:cs="Arial"/>
          <w:sz w:val="23"/>
          <w:szCs w:val="23"/>
        </w:rPr>
        <w:t xml:space="preserve">imóvel devidamente registrado sob a matrícula nº </w:t>
      </w:r>
      <w:r w:rsidR="00D00D33" w:rsidRPr="00DA6C49">
        <w:rPr>
          <w:rFonts w:ascii="Cambria" w:hAnsi="Cambria" w:cs="Arial"/>
          <w:sz w:val="23"/>
          <w:szCs w:val="23"/>
        </w:rPr>
        <w:t>1</w:t>
      </w:r>
      <w:r w:rsidR="004F34BB" w:rsidRPr="00DA6C49">
        <w:rPr>
          <w:rFonts w:ascii="Cambria" w:hAnsi="Cambria" w:cs="Arial"/>
          <w:sz w:val="23"/>
          <w:szCs w:val="23"/>
        </w:rPr>
        <w:t>5.132</w:t>
      </w:r>
      <w:r w:rsidRPr="00DA6C49">
        <w:rPr>
          <w:rFonts w:ascii="Cambria" w:hAnsi="Cambria" w:cs="Arial"/>
          <w:sz w:val="23"/>
          <w:szCs w:val="23"/>
        </w:rPr>
        <w:t>, no Cartório de Registro de Imóveis da Comarca de Juara-MT, de propriedade da Empresa</w:t>
      </w:r>
      <w:r w:rsidR="00AC7A64" w:rsidRPr="00DA6C49">
        <w:rPr>
          <w:rFonts w:ascii="Cambria" w:hAnsi="Cambria" w:cs="Arial"/>
          <w:sz w:val="23"/>
          <w:szCs w:val="23"/>
        </w:rPr>
        <w:t xml:space="preserve"> </w:t>
      </w:r>
      <w:r w:rsidR="004F34BB" w:rsidRPr="00DA6C49">
        <w:rPr>
          <w:rFonts w:ascii="Cambria" w:hAnsi="Cambria" w:cs="Arial"/>
          <w:sz w:val="23"/>
          <w:szCs w:val="23"/>
        </w:rPr>
        <w:t>MARCUCCI EMPREENDIMENTOS IMOBILIÁRIOS E CONSTRUÇÕES LTDA-ME</w:t>
      </w:r>
      <w:r w:rsidR="00870262" w:rsidRPr="00DA6C49">
        <w:rPr>
          <w:rFonts w:ascii="Cambria" w:hAnsi="Cambria" w:cs="Arial"/>
          <w:sz w:val="23"/>
          <w:szCs w:val="23"/>
        </w:rPr>
        <w:t xml:space="preserve">, pessoa jurídica de direito privado, inscrita no </w:t>
      </w:r>
      <w:r w:rsidR="00AC7A64" w:rsidRPr="00DA6C49">
        <w:rPr>
          <w:rFonts w:ascii="Cambria" w:hAnsi="Cambria" w:cs="Arial"/>
          <w:sz w:val="23"/>
          <w:szCs w:val="23"/>
        </w:rPr>
        <w:t xml:space="preserve">CNPJ nº </w:t>
      </w:r>
      <w:r w:rsidR="000334C7" w:rsidRPr="00DA6C49">
        <w:rPr>
          <w:rFonts w:ascii="Cambria" w:hAnsi="Cambria" w:cs="Arial"/>
          <w:sz w:val="23"/>
          <w:szCs w:val="23"/>
        </w:rPr>
        <w:t>01.382.076/0001-91</w:t>
      </w:r>
      <w:r w:rsidR="00AC7A64" w:rsidRPr="00DA6C49">
        <w:rPr>
          <w:rFonts w:ascii="Cambria" w:hAnsi="Cambria" w:cs="Arial"/>
          <w:sz w:val="23"/>
          <w:szCs w:val="23"/>
        </w:rPr>
        <w:t xml:space="preserve">, com sede na </w:t>
      </w:r>
      <w:r w:rsidR="000334C7" w:rsidRPr="00DA6C49">
        <w:rPr>
          <w:rFonts w:ascii="Cambria" w:hAnsi="Cambria" w:cs="Arial"/>
          <w:sz w:val="23"/>
          <w:szCs w:val="23"/>
        </w:rPr>
        <w:t xml:space="preserve">Avenida Tenente </w:t>
      </w:r>
      <w:proofErr w:type="spellStart"/>
      <w:r w:rsidR="000334C7" w:rsidRPr="00DA6C49">
        <w:rPr>
          <w:rFonts w:ascii="Cambria" w:hAnsi="Cambria" w:cs="Arial"/>
          <w:sz w:val="23"/>
          <w:szCs w:val="23"/>
        </w:rPr>
        <w:t>Praeiro</w:t>
      </w:r>
      <w:proofErr w:type="spellEnd"/>
      <w:r w:rsidR="000334C7" w:rsidRPr="00DA6C49">
        <w:rPr>
          <w:rFonts w:ascii="Cambria" w:hAnsi="Cambria" w:cs="Arial"/>
          <w:sz w:val="23"/>
          <w:szCs w:val="23"/>
        </w:rPr>
        <w:t>, 3573,  Jardim Califórnia, Município de Cuiabá-MT</w:t>
      </w:r>
      <w:r w:rsidR="00BA5B75" w:rsidRPr="00DA6C49">
        <w:rPr>
          <w:rFonts w:ascii="Cambria" w:hAnsi="Cambria" w:cs="Arial"/>
          <w:sz w:val="23"/>
          <w:szCs w:val="23"/>
        </w:rPr>
        <w:t>, representado</w:t>
      </w:r>
      <w:r w:rsidR="000334C7" w:rsidRPr="00DA6C49">
        <w:rPr>
          <w:rFonts w:ascii="Cambria" w:hAnsi="Cambria" w:cs="Arial"/>
          <w:sz w:val="23"/>
          <w:szCs w:val="23"/>
        </w:rPr>
        <w:t xml:space="preserve"> por seu</w:t>
      </w:r>
      <w:r w:rsidR="00870262" w:rsidRPr="00DA6C49">
        <w:rPr>
          <w:rFonts w:ascii="Cambria" w:hAnsi="Cambria" w:cs="Arial"/>
          <w:sz w:val="23"/>
          <w:szCs w:val="23"/>
        </w:rPr>
        <w:t xml:space="preserve"> </w:t>
      </w:r>
      <w:r w:rsidR="000334C7" w:rsidRPr="00DA6C49">
        <w:rPr>
          <w:rFonts w:ascii="Cambria" w:hAnsi="Cambria" w:cs="Arial"/>
          <w:sz w:val="23"/>
          <w:szCs w:val="23"/>
        </w:rPr>
        <w:t xml:space="preserve">procurador  Senhor José Calil </w:t>
      </w:r>
      <w:proofErr w:type="spellStart"/>
      <w:r w:rsidR="000334C7" w:rsidRPr="00DA6C49">
        <w:rPr>
          <w:rFonts w:ascii="Cambria" w:hAnsi="Cambria" w:cs="Arial"/>
          <w:sz w:val="23"/>
          <w:szCs w:val="23"/>
        </w:rPr>
        <w:t>Marcucci</w:t>
      </w:r>
      <w:proofErr w:type="spellEnd"/>
      <w:r w:rsidR="000334C7" w:rsidRPr="00DA6C49">
        <w:rPr>
          <w:rFonts w:ascii="Cambria" w:hAnsi="Cambria" w:cs="Arial"/>
          <w:sz w:val="23"/>
          <w:szCs w:val="23"/>
        </w:rPr>
        <w:t>, brasileiro, casado, empresário, portador do RG nº 9048821 SSP/SP e do CPF nº 038.421.108-98, residente na Rua Sírio Libanesa, 94, Edifício Florença, Bairro Popular, na Cidade de Cuiabá-MT.</w:t>
      </w:r>
    </w:p>
    <w:p w14:paraId="5FAA504F" w14:textId="77777777" w:rsidR="006207A5" w:rsidRPr="00DA6C49" w:rsidRDefault="006207A5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4FE48A7B" w14:textId="5C06487A" w:rsidR="008D12AC" w:rsidRPr="00DA6C49" w:rsidRDefault="008D12AC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Art. 2º O loteamento perfaz uma área total de </w:t>
      </w:r>
      <w:r w:rsidR="006207A5" w:rsidRPr="00DA6C49">
        <w:rPr>
          <w:rFonts w:ascii="Cambria" w:hAnsi="Cambria" w:cs="Arial"/>
          <w:sz w:val="23"/>
          <w:szCs w:val="23"/>
        </w:rPr>
        <w:t>96.659,55m²</w:t>
      </w:r>
      <w:r w:rsidRPr="00DA6C49">
        <w:rPr>
          <w:rFonts w:ascii="Cambria" w:hAnsi="Cambria" w:cs="Arial"/>
          <w:sz w:val="23"/>
          <w:szCs w:val="23"/>
        </w:rPr>
        <w:t>, assim dividido:</w:t>
      </w:r>
    </w:p>
    <w:p w14:paraId="0DA17BD6" w14:textId="3DE59063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1º Da área total do Loteamento com </w:t>
      </w:r>
      <w:r w:rsidR="006207A5" w:rsidRPr="00DA6C49">
        <w:rPr>
          <w:rFonts w:ascii="Cambria" w:hAnsi="Cambria" w:cs="Arial"/>
          <w:sz w:val="23"/>
          <w:szCs w:val="23"/>
        </w:rPr>
        <w:t>52.281,05</w:t>
      </w:r>
      <w:r w:rsidRPr="00DA6C49">
        <w:rPr>
          <w:rFonts w:ascii="Cambria" w:hAnsi="Cambria" w:cs="Arial"/>
          <w:sz w:val="23"/>
          <w:szCs w:val="23"/>
        </w:rPr>
        <w:t xml:space="preserve">m², destinada a venda, correspondendo a </w:t>
      </w:r>
      <w:r w:rsidR="00E8652D" w:rsidRPr="00DA6C49">
        <w:rPr>
          <w:rFonts w:ascii="Cambria" w:hAnsi="Cambria" w:cs="Arial"/>
          <w:sz w:val="23"/>
          <w:szCs w:val="23"/>
        </w:rPr>
        <w:t>55,77</w:t>
      </w:r>
      <w:r w:rsidRPr="00DA6C49">
        <w:rPr>
          <w:rFonts w:ascii="Cambria" w:hAnsi="Cambria" w:cs="Arial"/>
          <w:sz w:val="23"/>
          <w:szCs w:val="23"/>
        </w:rPr>
        <w:t>% da área total.</w:t>
      </w:r>
    </w:p>
    <w:p w14:paraId="07186A7B" w14:textId="1ED13C62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2º Da área total descrita no </w:t>
      </w:r>
      <w:r w:rsidRPr="00DA6C49">
        <w:rPr>
          <w:rFonts w:ascii="Cambria" w:hAnsi="Cambria" w:cs="Arial"/>
          <w:i/>
          <w:sz w:val="23"/>
          <w:szCs w:val="23"/>
        </w:rPr>
        <w:t>caput</w:t>
      </w:r>
      <w:r w:rsidRPr="00DA6C49">
        <w:rPr>
          <w:rFonts w:ascii="Cambria" w:hAnsi="Cambria" w:cs="Arial"/>
          <w:sz w:val="23"/>
          <w:szCs w:val="23"/>
        </w:rPr>
        <w:t xml:space="preserve">, são adjudicados </w:t>
      </w:r>
      <w:r w:rsidR="00E8652D" w:rsidRPr="00DA6C49">
        <w:rPr>
          <w:rFonts w:ascii="Cambria" w:hAnsi="Cambria" w:cs="Arial"/>
          <w:b/>
          <w:bCs/>
          <w:sz w:val="23"/>
          <w:szCs w:val="23"/>
        </w:rPr>
        <w:t>23.913,23</w:t>
      </w:r>
      <w:r w:rsidRPr="00DA6C49">
        <w:rPr>
          <w:rFonts w:ascii="Cambria" w:hAnsi="Cambria" w:cs="Arial"/>
          <w:b/>
          <w:bCs/>
          <w:sz w:val="23"/>
          <w:szCs w:val="23"/>
        </w:rPr>
        <w:t>m²</w:t>
      </w:r>
      <w:r w:rsidRPr="00DA6C49">
        <w:rPr>
          <w:rFonts w:ascii="Cambria" w:hAnsi="Cambria" w:cs="Arial"/>
          <w:sz w:val="23"/>
          <w:szCs w:val="23"/>
        </w:rPr>
        <w:t xml:space="preserve">, sem ônus, à Prefeitura Municipal, pelo proprietário, para </w:t>
      </w:r>
      <w:r w:rsidRPr="00DA6C49">
        <w:rPr>
          <w:rFonts w:ascii="Cambria" w:hAnsi="Cambria" w:cs="Arial"/>
          <w:b/>
          <w:sz w:val="23"/>
          <w:szCs w:val="23"/>
        </w:rPr>
        <w:t>Vias Públicas e Áreas de Circulação</w:t>
      </w:r>
      <w:r w:rsidRPr="00DA6C49">
        <w:rPr>
          <w:rFonts w:ascii="Cambria" w:hAnsi="Cambria" w:cs="Arial"/>
          <w:sz w:val="23"/>
          <w:szCs w:val="23"/>
        </w:rPr>
        <w:t xml:space="preserve">, correspondendo a </w:t>
      </w:r>
      <w:r w:rsidR="00E8652D" w:rsidRPr="00DA6C49">
        <w:rPr>
          <w:rFonts w:ascii="Cambria" w:hAnsi="Cambria" w:cs="Arial"/>
          <w:b/>
          <w:sz w:val="23"/>
          <w:szCs w:val="23"/>
        </w:rPr>
        <w:t>25,51</w:t>
      </w:r>
      <w:r w:rsidRPr="00DA6C49">
        <w:rPr>
          <w:rFonts w:ascii="Cambria" w:hAnsi="Cambria" w:cs="Arial"/>
          <w:b/>
          <w:sz w:val="23"/>
          <w:szCs w:val="23"/>
        </w:rPr>
        <w:t>%</w:t>
      </w:r>
      <w:r w:rsidRPr="00DA6C49">
        <w:rPr>
          <w:rFonts w:ascii="Cambria" w:hAnsi="Cambria" w:cs="Arial"/>
          <w:sz w:val="23"/>
          <w:szCs w:val="23"/>
        </w:rPr>
        <w:t xml:space="preserve"> da área total.</w:t>
      </w:r>
    </w:p>
    <w:p w14:paraId="4EB9AAD4" w14:textId="78175818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3º Além da área descrita no parágrafo anterior será adjudicada à Prefeitura Municipal, sem ônus, no ato do registro do loteamento junto ao Cartório competente, a área de </w:t>
      </w:r>
      <w:r w:rsidR="00E8652D" w:rsidRPr="00DA6C49">
        <w:rPr>
          <w:rFonts w:ascii="Cambria" w:hAnsi="Cambria" w:cs="Arial"/>
          <w:b/>
          <w:bCs/>
          <w:sz w:val="23"/>
          <w:szCs w:val="23"/>
        </w:rPr>
        <w:t>9.406,01</w:t>
      </w:r>
      <w:r w:rsidRPr="00DA6C49">
        <w:rPr>
          <w:rFonts w:ascii="Cambria" w:hAnsi="Cambria" w:cs="Arial"/>
          <w:b/>
          <w:bCs/>
          <w:sz w:val="23"/>
          <w:szCs w:val="23"/>
        </w:rPr>
        <w:t>m</w:t>
      </w:r>
      <w:r w:rsidRPr="00DA6C49">
        <w:rPr>
          <w:rFonts w:ascii="Cambria" w:hAnsi="Cambria" w:cs="Arial"/>
          <w:b/>
          <w:sz w:val="23"/>
          <w:szCs w:val="23"/>
        </w:rPr>
        <w:t>²</w:t>
      </w:r>
      <w:r w:rsidRPr="00DA6C49">
        <w:rPr>
          <w:rFonts w:ascii="Cambria" w:hAnsi="Cambria" w:cs="Arial"/>
          <w:sz w:val="23"/>
          <w:szCs w:val="23"/>
        </w:rPr>
        <w:t>, correspondente a 10,</w:t>
      </w:r>
      <w:r w:rsidR="00E8652D" w:rsidRPr="00DA6C49">
        <w:rPr>
          <w:rFonts w:ascii="Cambria" w:hAnsi="Cambria" w:cs="Arial"/>
          <w:sz w:val="23"/>
          <w:szCs w:val="23"/>
        </w:rPr>
        <w:t>03</w:t>
      </w:r>
      <w:r w:rsidRPr="00DA6C49">
        <w:rPr>
          <w:rFonts w:ascii="Cambria" w:hAnsi="Cambria" w:cs="Arial"/>
          <w:sz w:val="23"/>
          <w:szCs w:val="23"/>
        </w:rPr>
        <w:t xml:space="preserve">% da área total, para os fins estabelecidos pela Lei </w:t>
      </w:r>
      <w:r w:rsidRPr="00DA6C49">
        <w:rPr>
          <w:rFonts w:ascii="Cambria" w:hAnsi="Cambria" w:cs="Arial"/>
          <w:sz w:val="23"/>
          <w:szCs w:val="23"/>
        </w:rPr>
        <w:lastRenderedPageBreak/>
        <w:t xml:space="preserve">Complementar nº 019, de 17 de novembro de 2006, para </w:t>
      </w:r>
      <w:r w:rsidRPr="00DA6C49">
        <w:rPr>
          <w:rFonts w:ascii="Cambria" w:hAnsi="Cambria" w:cs="Arial"/>
          <w:b/>
          <w:sz w:val="23"/>
          <w:szCs w:val="23"/>
        </w:rPr>
        <w:t>Área para Espaço Livre de Uso Público ou Área Verde</w:t>
      </w:r>
      <w:r w:rsidRPr="00DA6C49">
        <w:rPr>
          <w:rFonts w:ascii="Cambria" w:hAnsi="Cambria" w:cs="Arial"/>
          <w:sz w:val="23"/>
          <w:szCs w:val="23"/>
        </w:rPr>
        <w:t>.</w:t>
      </w:r>
    </w:p>
    <w:p w14:paraId="43DB5F0E" w14:textId="329B8083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4º Será destinada uma área com </w:t>
      </w:r>
      <w:r w:rsidRPr="00DA6C49">
        <w:rPr>
          <w:rFonts w:ascii="Cambria" w:hAnsi="Cambria" w:cs="Arial"/>
          <w:b/>
          <w:sz w:val="23"/>
          <w:szCs w:val="23"/>
        </w:rPr>
        <w:t>8.</w:t>
      </w:r>
      <w:r w:rsidR="00E8652D" w:rsidRPr="00DA6C49">
        <w:rPr>
          <w:rFonts w:ascii="Cambria" w:hAnsi="Cambria" w:cs="Arial"/>
          <w:b/>
          <w:sz w:val="23"/>
          <w:szCs w:val="23"/>
        </w:rPr>
        <w:t>147,68</w:t>
      </w:r>
      <w:r w:rsidRPr="00DA6C49">
        <w:rPr>
          <w:rFonts w:ascii="Cambria" w:hAnsi="Cambria" w:cs="Arial"/>
          <w:b/>
          <w:sz w:val="23"/>
          <w:szCs w:val="23"/>
        </w:rPr>
        <w:t>m²</w:t>
      </w:r>
      <w:r w:rsidRPr="00DA6C49">
        <w:rPr>
          <w:rFonts w:ascii="Cambria" w:hAnsi="Cambria" w:cs="Arial"/>
          <w:sz w:val="23"/>
          <w:szCs w:val="23"/>
        </w:rPr>
        <w:t xml:space="preserve">, correspondentes a </w:t>
      </w:r>
      <w:r w:rsidRPr="00DA6C49">
        <w:rPr>
          <w:rFonts w:ascii="Cambria" w:hAnsi="Cambria" w:cs="Arial"/>
          <w:b/>
          <w:sz w:val="23"/>
          <w:szCs w:val="23"/>
        </w:rPr>
        <w:t>8,</w:t>
      </w:r>
      <w:r w:rsidR="00E8652D" w:rsidRPr="00DA6C49">
        <w:rPr>
          <w:rFonts w:ascii="Cambria" w:hAnsi="Cambria" w:cs="Arial"/>
          <w:b/>
          <w:sz w:val="23"/>
          <w:szCs w:val="23"/>
        </w:rPr>
        <w:t>69</w:t>
      </w:r>
      <w:r w:rsidRPr="00DA6C49">
        <w:rPr>
          <w:rFonts w:ascii="Cambria" w:hAnsi="Cambria" w:cs="Arial"/>
          <w:b/>
          <w:sz w:val="23"/>
          <w:szCs w:val="23"/>
        </w:rPr>
        <w:t>%</w:t>
      </w:r>
      <w:r w:rsidRPr="00DA6C49">
        <w:rPr>
          <w:rFonts w:ascii="Cambria" w:hAnsi="Cambria" w:cs="Arial"/>
          <w:sz w:val="23"/>
          <w:szCs w:val="23"/>
        </w:rPr>
        <w:t xml:space="preserve"> da área total do loteamento para </w:t>
      </w:r>
      <w:r w:rsidRPr="00DA6C49">
        <w:rPr>
          <w:rFonts w:ascii="Cambria" w:hAnsi="Cambria" w:cs="Arial"/>
          <w:b/>
          <w:sz w:val="23"/>
          <w:szCs w:val="23"/>
        </w:rPr>
        <w:t>Equipamentos Comunitários</w:t>
      </w:r>
      <w:r w:rsidRPr="00DA6C49">
        <w:rPr>
          <w:rFonts w:ascii="Cambria" w:hAnsi="Cambria" w:cs="Arial"/>
          <w:sz w:val="23"/>
          <w:szCs w:val="23"/>
        </w:rPr>
        <w:t xml:space="preserve">, estabelecidos pela Lei Complementar nº 019, de 17 de novembro de 2006, que será adjudicada à Prefeitura Municipal de Juara/MT, sem ônus, no ato do registro do Loteamento, junto ao Cartório competente. </w:t>
      </w:r>
    </w:p>
    <w:p w14:paraId="51DA8655" w14:textId="04F5F0C9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5º O número total de lotes é de </w:t>
      </w:r>
      <w:r w:rsidR="00E8652D" w:rsidRPr="00DA6C49">
        <w:rPr>
          <w:rFonts w:ascii="Cambria" w:hAnsi="Cambria" w:cs="Arial"/>
          <w:sz w:val="23"/>
          <w:szCs w:val="23"/>
        </w:rPr>
        <w:t>202</w:t>
      </w:r>
      <w:r w:rsidRPr="00DA6C49">
        <w:rPr>
          <w:rFonts w:ascii="Cambria" w:hAnsi="Cambria" w:cs="Arial"/>
          <w:sz w:val="23"/>
          <w:szCs w:val="23"/>
        </w:rPr>
        <w:t xml:space="preserve"> (</w:t>
      </w:r>
      <w:r w:rsidR="00E8652D" w:rsidRPr="00DA6C49">
        <w:rPr>
          <w:rFonts w:ascii="Cambria" w:hAnsi="Cambria" w:cs="Arial"/>
          <w:sz w:val="23"/>
          <w:szCs w:val="23"/>
        </w:rPr>
        <w:t>duzentos e dois</w:t>
      </w:r>
      <w:r w:rsidRPr="00DA6C49">
        <w:rPr>
          <w:rFonts w:ascii="Cambria" w:hAnsi="Cambria" w:cs="Arial"/>
          <w:sz w:val="23"/>
          <w:szCs w:val="23"/>
        </w:rPr>
        <w:t>) unidades para fins residenciais, com testadas mínima de 10,00 (dez) metros, sendo o lote com menor área de 250,00m², conforme projeto urbanístico, não podendo os mesmos serem desmembrados, subdivididos ou qualquer outra forma de parcelamento.</w:t>
      </w:r>
    </w:p>
    <w:p w14:paraId="47605A72" w14:textId="77777777" w:rsidR="008D12AC" w:rsidRPr="00DA6C49" w:rsidRDefault="008D12AC" w:rsidP="008D12AC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67AB303" w14:textId="5A9125EA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Art. 3º O Loteamento de que trata o presente Decreto é autorizado mediante as condições constantes do Termo de Compromisso, em anexo, firmado pelo proprietário e arquivado junto aos documentos do Loteamento, na Secretaria Municipal de Cidade, da Prefeitura Municipal de Juara/MT.</w:t>
      </w:r>
    </w:p>
    <w:p w14:paraId="3C324DA3" w14:textId="77777777" w:rsidR="008D12AC" w:rsidRPr="00DA6C49" w:rsidRDefault="008D12AC" w:rsidP="008D12A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§1º Para garantia dos custos decorrentes das obras e serviços de infraestrutura que serão executadas no Loteamento de que trata o Termo de Caução de Lotes, anexo a Lei Municipal que aprovou o loteamento e esse Decreto, procedendo ainda a sua instrumentalidade nos termos do § 2º do artigo 31 da Lei Complementar nº 019/2006, o empreendedor dá em caução os Lotes descritos no anexo I do presente Decreto. </w:t>
      </w:r>
    </w:p>
    <w:p w14:paraId="70D92DFE" w14:textId="77777777" w:rsidR="008D12AC" w:rsidRPr="00DA6C49" w:rsidRDefault="008D12AC" w:rsidP="008D12A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§2º 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§3º do art. 18 da Lei Complementar nº 019/2006.</w:t>
      </w:r>
    </w:p>
    <w:p w14:paraId="0B08244C" w14:textId="77777777" w:rsidR="005A0C72" w:rsidRPr="00DA6C49" w:rsidRDefault="005A0C72" w:rsidP="005A0C72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8868A84" w14:textId="3454A9B9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Art. 4º O proprietário do Loteamento propõe-se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7C7CAB70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5C9DE73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Art. 5º Sobre a área do Loteamento aprovado inexistem quaisquer direitos reais previstos pelo artigo 1.225 do Código Civil Brasileiro, conforme certidão negativa do 1º Ofício de Registro de Imóveis, Títulos e Documentos – Juara/MT, devendo os loteadores responderem exclusivamente por fatos supervenientes ou que a administração pública não tenha ciência nesta data.</w:t>
      </w:r>
    </w:p>
    <w:p w14:paraId="3C67B7DF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Parágrafo único. Excetua-se das disposições do </w:t>
      </w:r>
      <w:r w:rsidRPr="00DA6C49">
        <w:rPr>
          <w:rFonts w:ascii="Cambria" w:hAnsi="Cambria" w:cs="Arial"/>
          <w:i/>
          <w:sz w:val="23"/>
          <w:szCs w:val="23"/>
        </w:rPr>
        <w:t>caput</w:t>
      </w:r>
      <w:r w:rsidRPr="00DA6C49">
        <w:rPr>
          <w:rFonts w:ascii="Cambria" w:hAnsi="Cambria" w:cs="Arial"/>
          <w:sz w:val="23"/>
          <w:szCs w:val="23"/>
        </w:rPr>
        <w:t xml:space="preserve"> a hipoteca, em favor do Município, dos Lotes descritos no §1º do art. 2º deste Decreto.</w:t>
      </w:r>
    </w:p>
    <w:p w14:paraId="7205B489" w14:textId="77777777" w:rsidR="008D12AC" w:rsidRPr="00DA6C49" w:rsidRDefault="008D12AC" w:rsidP="008D12AC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FEBD365" w14:textId="2EC6E465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Art. 6º Dentro dos prazos previstos na Lei Federal nº 6.766, de 19 de dezembro de 1979, a Empresa </w:t>
      </w:r>
      <w:proofErr w:type="spellStart"/>
      <w:r w:rsidR="00E8652D" w:rsidRPr="00DA6C49">
        <w:rPr>
          <w:rFonts w:ascii="Cambria" w:hAnsi="Cambria" w:cs="Arial"/>
          <w:sz w:val="23"/>
          <w:szCs w:val="23"/>
        </w:rPr>
        <w:t>Marcucci</w:t>
      </w:r>
      <w:proofErr w:type="spellEnd"/>
      <w:r w:rsidR="00E8652D" w:rsidRPr="00DA6C49">
        <w:rPr>
          <w:rFonts w:ascii="Cambria" w:hAnsi="Cambria" w:cs="Arial"/>
          <w:sz w:val="23"/>
          <w:szCs w:val="23"/>
        </w:rPr>
        <w:t xml:space="preserve"> Empreendimentos Imobiliários E Construções </w:t>
      </w:r>
      <w:proofErr w:type="spellStart"/>
      <w:r w:rsidR="00E8652D" w:rsidRPr="00DA6C49">
        <w:rPr>
          <w:rFonts w:ascii="Cambria" w:hAnsi="Cambria" w:cs="Arial"/>
          <w:sz w:val="23"/>
          <w:szCs w:val="23"/>
        </w:rPr>
        <w:t>Ltda-M</w:t>
      </w:r>
      <w:r w:rsidR="0092271F" w:rsidRPr="00DA6C49">
        <w:rPr>
          <w:rFonts w:ascii="Cambria" w:hAnsi="Cambria" w:cs="Arial"/>
          <w:sz w:val="23"/>
          <w:szCs w:val="23"/>
        </w:rPr>
        <w:t>E</w:t>
      </w:r>
      <w:proofErr w:type="spellEnd"/>
      <w:r w:rsidRPr="00DA6C49">
        <w:rPr>
          <w:rFonts w:ascii="Cambria" w:hAnsi="Cambria" w:cs="Arial"/>
          <w:sz w:val="23"/>
          <w:szCs w:val="23"/>
        </w:rPr>
        <w:t>, compromete-se a adotar todos os procedimentos legais nela fixados, sob pena de revogação da aprovação do loteamento.</w:t>
      </w:r>
    </w:p>
    <w:p w14:paraId="7519AB9F" w14:textId="57FB5B05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1º O proprietário do Loteamento de que trata este Decreto fica obrigado, sob pena de revogação do presente ato, a cumprirem com o disposto no art. 18 da Lei Complementar nº 019/2006 e do </w:t>
      </w:r>
      <w:r w:rsidRPr="00DA6C49">
        <w:rPr>
          <w:rFonts w:ascii="Cambria" w:hAnsi="Cambria" w:cs="Arial"/>
          <w:i/>
          <w:sz w:val="23"/>
          <w:szCs w:val="23"/>
        </w:rPr>
        <w:t>caput</w:t>
      </w:r>
      <w:r w:rsidRPr="00DA6C49">
        <w:rPr>
          <w:rFonts w:ascii="Cambria" w:hAnsi="Cambria" w:cs="Arial"/>
          <w:sz w:val="23"/>
          <w:szCs w:val="23"/>
        </w:rPr>
        <w:t xml:space="preserve"> do presente artigo.</w:t>
      </w:r>
    </w:p>
    <w:p w14:paraId="74D9DC1C" w14:textId="44D1AD01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§ 2º Ao adotar o procedimento de que trata o § 1º deste artigo, o loteador requerera, no mesmo ato, ao Oficial de Imóveis, que se cumpra o disposto no art. 22 da Lei </w:t>
      </w:r>
      <w:r w:rsidRPr="00DA6C49">
        <w:rPr>
          <w:rFonts w:ascii="Cambria" w:hAnsi="Cambria" w:cs="Arial"/>
          <w:sz w:val="23"/>
          <w:szCs w:val="23"/>
        </w:rPr>
        <w:lastRenderedPageBreak/>
        <w:t>Federal nº 6.766, de 19 de dezembro de 1979, obedecidas as normas do art. 19, especialmente de seu § 5º.</w:t>
      </w:r>
    </w:p>
    <w:p w14:paraId="64DE06FF" w14:textId="1E3D24CE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§ 3º O loteador obriga-se a cumprir e respeitar todas as obrigações provindos da Lei Complementar nº 019, de 17 de novembro de 2006, bem como da Lei Municipal que aprovou o referido loteamento, Termo de Compromisso, e deste Decreto, sob pena de revogação da aprovação do Loteamento.</w:t>
      </w:r>
    </w:p>
    <w:p w14:paraId="34BF42F9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879183C" w14:textId="2EBB21E9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Art. 7º Transcorridos os prazos fixados pela Prefeitura Municipal para realização das condições impostas pela Lei de Parcelamento do Solo para fins Urbanos no Município de Juara/MT, e não concluídas conforme prometido pelo proprietário,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48A37E1A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Parágrafo único. O recibo de depósito valerá como quitação de prestação contratual depositada para todos os efeitos.</w:t>
      </w:r>
    </w:p>
    <w:p w14:paraId="43299026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C8BE071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Art. 8º Os Lotes propostos como garantia à execução das obras referidas no art. 2º do presente Decreto e Termo de Compromisso, deverão ter sua </w:t>
      </w:r>
      <w:r w:rsidRPr="00DA6C49">
        <w:rPr>
          <w:rFonts w:ascii="Cambria" w:hAnsi="Cambria" w:cs="Arial"/>
          <w:i/>
          <w:sz w:val="23"/>
          <w:szCs w:val="23"/>
        </w:rPr>
        <w:t>escritura pública de hipoteca</w:t>
      </w:r>
      <w:r w:rsidRPr="00DA6C49">
        <w:rPr>
          <w:rFonts w:ascii="Cambria" w:hAnsi="Cambria" w:cs="Arial"/>
          <w:sz w:val="23"/>
          <w:szCs w:val="23"/>
        </w:rPr>
        <w:t xml:space="preserve"> entregue ao Poder Público Municipal no prazo de trinta dias, a contar da data do registro do Loteamento de que trata este Decreto.</w:t>
      </w:r>
    </w:p>
    <w:p w14:paraId="0D2E1257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B824B6D" w14:textId="1CAD9F41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Art. 9º Os prazos estabelecidos pelo Município e prometidos pelo loteador com respeito às obras de infraestrutura e urbanização começam a fluir e contar da data de publicação do presente Decreto.</w:t>
      </w:r>
    </w:p>
    <w:p w14:paraId="10947ACE" w14:textId="77777777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B37DB06" w14:textId="08A61D11" w:rsidR="008D12AC" w:rsidRPr="00DA6C49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 xml:space="preserve">Art. 10. O presente Decreto de aprovação do loteamento somente produzirá efeitos legais com a competente inscrição no Registro de Imóveis, em nome do Município de Juara/MT, dos imóveis descritos nos §§ 2º, 3º e 4º do art. 2º, bem assim com a inscrição, no mesmo Registro, da hipoteca em garantia de execução das obrigações postas no competente Termo de Compromisso de que trata o art. 3º, relativamente a </w:t>
      </w:r>
      <w:r w:rsidR="00E8652D" w:rsidRPr="00DA6C49">
        <w:rPr>
          <w:rFonts w:ascii="Cambria" w:hAnsi="Cambria" w:cs="Arial"/>
          <w:sz w:val="23"/>
          <w:szCs w:val="23"/>
        </w:rPr>
        <w:t>56</w:t>
      </w:r>
      <w:r w:rsidRPr="00DA6C49">
        <w:rPr>
          <w:rFonts w:ascii="Cambria" w:hAnsi="Cambria" w:cs="Arial"/>
          <w:sz w:val="23"/>
          <w:szCs w:val="23"/>
        </w:rPr>
        <w:t xml:space="preserve"> (</w:t>
      </w:r>
      <w:r w:rsidR="00E8652D" w:rsidRPr="00DA6C49">
        <w:rPr>
          <w:rFonts w:ascii="Cambria" w:hAnsi="Cambria" w:cs="Arial"/>
          <w:sz w:val="23"/>
          <w:szCs w:val="23"/>
        </w:rPr>
        <w:t>cinquenta e seis</w:t>
      </w:r>
      <w:r w:rsidRPr="00DA6C49">
        <w:rPr>
          <w:rFonts w:ascii="Cambria" w:hAnsi="Cambria" w:cs="Arial"/>
          <w:sz w:val="23"/>
          <w:szCs w:val="23"/>
        </w:rPr>
        <w:t>) lotes referidos na parte final do citado Termo.</w:t>
      </w:r>
    </w:p>
    <w:p w14:paraId="6AF71A7A" w14:textId="77777777" w:rsidR="00037CA8" w:rsidRPr="00DA6C49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4BFA6D2" w14:textId="61E99241" w:rsidR="00037CA8" w:rsidRPr="00DA6C49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Art. 1</w:t>
      </w:r>
      <w:r w:rsidR="008D12AC" w:rsidRPr="00DA6C49">
        <w:rPr>
          <w:rFonts w:ascii="Cambria" w:hAnsi="Cambria" w:cs="Arial"/>
          <w:sz w:val="23"/>
          <w:szCs w:val="23"/>
        </w:rPr>
        <w:t>1</w:t>
      </w:r>
      <w:r w:rsidRPr="00DA6C49">
        <w:rPr>
          <w:rFonts w:ascii="Cambria" w:hAnsi="Cambria" w:cs="Arial"/>
          <w:sz w:val="23"/>
          <w:szCs w:val="23"/>
        </w:rPr>
        <w:t>. Este Decreto entra em vigor na data de sua publicação.</w:t>
      </w:r>
    </w:p>
    <w:p w14:paraId="676F7A5D" w14:textId="77777777" w:rsidR="00037CA8" w:rsidRPr="00DA6C49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96A3E0E" w14:textId="724063C4" w:rsidR="00037CA8" w:rsidRPr="00DA6C49" w:rsidRDefault="00037CA8" w:rsidP="00761752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2BF213B3" w14:textId="77777777" w:rsidR="00F04714" w:rsidRPr="00DA6C49" w:rsidRDefault="00F04714" w:rsidP="00F04714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Governo Municipal de Juara, Estado de Mato</w:t>
      </w:r>
    </w:p>
    <w:p w14:paraId="00EA7E38" w14:textId="64CE2EF6" w:rsidR="00F04714" w:rsidRPr="00DA6C49" w:rsidRDefault="00E32655" w:rsidP="00F04714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Grosso, em 13</w:t>
      </w:r>
      <w:r w:rsidR="00F04714" w:rsidRPr="00DA6C49">
        <w:rPr>
          <w:rFonts w:ascii="Cambria" w:hAnsi="Cambria" w:cs="Arial"/>
          <w:sz w:val="23"/>
          <w:szCs w:val="23"/>
        </w:rPr>
        <w:t xml:space="preserve"> de </w:t>
      </w:r>
      <w:r w:rsidRPr="00DA6C49">
        <w:rPr>
          <w:rFonts w:ascii="Cambria" w:hAnsi="Cambria" w:cs="Arial"/>
          <w:sz w:val="23"/>
          <w:szCs w:val="23"/>
        </w:rPr>
        <w:t>fevereiro</w:t>
      </w:r>
      <w:r w:rsidR="00F04714" w:rsidRPr="00DA6C49">
        <w:rPr>
          <w:rFonts w:ascii="Cambria" w:hAnsi="Cambria" w:cs="Arial"/>
          <w:sz w:val="23"/>
          <w:szCs w:val="23"/>
        </w:rPr>
        <w:t xml:space="preserve"> de 202</w:t>
      </w:r>
      <w:r w:rsidRPr="00DA6C49">
        <w:rPr>
          <w:rFonts w:ascii="Cambria" w:hAnsi="Cambria" w:cs="Arial"/>
          <w:sz w:val="23"/>
          <w:szCs w:val="23"/>
        </w:rPr>
        <w:t>5</w:t>
      </w:r>
      <w:r w:rsidR="00F04714" w:rsidRPr="00DA6C49">
        <w:rPr>
          <w:rFonts w:ascii="Cambria" w:hAnsi="Cambria" w:cs="Arial"/>
          <w:sz w:val="23"/>
          <w:szCs w:val="23"/>
        </w:rPr>
        <w:t>.</w:t>
      </w:r>
    </w:p>
    <w:p w14:paraId="3EF8D9B3" w14:textId="77777777" w:rsidR="00F04714" w:rsidRPr="00DA6C49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6BC47A13" w14:textId="1D99BFCE" w:rsidR="00F04714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2E5FFEC1" w14:textId="77777777" w:rsidR="00DA6C49" w:rsidRPr="00DA6C49" w:rsidRDefault="00DA6C49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6B8C0C3B" w14:textId="77777777" w:rsidR="00F04714" w:rsidRPr="00DA6C49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76BE31D6" w14:textId="5B5FC51B" w:rsidR="00F04714" w:rsidRPr="00DA6C49" w:rsidRDefault="00E32655" w:rsidP="00F047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50AC13A1" w14:textId="468FA062" w:rsidR="00037CA8" w:rsidRPr="00DA6C49" w:rsidRDefault="00F04714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A6C49">
        <w:rPr>
          <w:rFonts w:ascii="Cambria" w:hAnsi="Cambria" w:cs="Arial"/>
          <w:sz w:val="23"/>
          <w:szCs w:val="23"/>
        </w:rPr>
        <w:t>Prefeito do Município</w:t>
      </w:r>
    </w:p>
    <w:p w14:paraId="0F08AF70" w14:textId="5B3F1B60" w:rsidR="00F61B85" w:rsidRPr="00DA6C49" w:rsidRDefault="00F61B85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6F6C8C69" w14:textId="7A554F86" w:rsidR="00F61B85" w:rsidRDefault="00F61B85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35D8C4A9" w14:textId="3C9AD6B2" w:rsidR="00DA6C49" w:rsidRDefault="00DA6C49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B2B39DE" w14:textId="22489FC3" w:rsidR="00DA6C49" w:rsidRDefault="00DA6C49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5725B861" w14:textId="77777777" w:rsidR="00DA6C49" w:rsidRDefault="00DA6C49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2DA4A332" w14:textId="79505704" w:rsidR="00DA6C49" w:rsidRDefault="00DA6C49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A273ED9" w14:textId="52DD6FF7" w:rsidR="00DA6C49" w:rsidRDefault="00DA6C49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41D4182" w14:textId="77777777" w:rsidR="00DA6C49" w:rsidRPr="00DA6C49" w:rsidRDefault="00DA6C49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BC8AF48" w14:textId="77777777" w:rsidR="00F61B85" w:rsidRPr="00DA6C49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DA6C49">
        <w:rPr>
          <w:rFonts w:ascii="Cambria" w:hAnsi="Cambria" w:cs="Arial"/>
          <w:b/>
          <w:sz w:val="23"/>
          <w:szCs w:val="23"/>
        </w:rPr>
        <w:t>Anexo I</w:t>
      </w:r>
    </w:p>
    <w:p w14:paraId="4CF92529" w14:textId="6A98C8F6" w:rsidR="00F61B85" w:rsidRPr="00DA6C49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DA6C49">
        <w:rPr>
          <w:rFonts w:ascii="Cambria" w:hAnsi="Cambria" w:cs="Arial"/>
          <w:b/>
          <w:sz w:val="23"/>
          <w:szCs w:val="23"/>
        </w:rPr>
        <w:t>Para garantia de execução da infraestrutura do empreendimento, serão caucionados 56 lotes, conforme relação abaixo</w:t>
      </w:r>
    </w:p>
    <w:p w14:paraId="026283B4" w14:textId="77777777" w:rsidR="000D620E" w:rsidRPr="00DA6C49" w:rsidRDefault="000D620E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29"/>
        <w:gridCol w:w="2527"/>
        <w:gridCol w:w="1038"/>
        <w:gridCol w:w="1513"/>
      </w:tblGrid>
      <w:tr w:rsidR="00F61B85" w:rsidRPr="00DA6C49" w14:paraId="75B6EF58" w14:textId="77777777" w:rsidTr="00EB106D">
        <w:trPr>
          <w:trHeight w:val="277"/>
          <w:jc w:val="center"/>
        </w:trPr>
        <w:tc>
          <w:tcPr>
            <w:tcW w:w="729" w:type="dxa"/>
          </w:tcPr>
          <w:p w14:paraId="0D138517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2527" w:type="dxa"/>
          </w:tcPr>
          <w:p w14:paraId="40E58C1C" w14:textId="51D0E66A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</w:t>
            </w:r>
            <w:r w:rsidR="000D620E" w:rsidRPr="00DA6C4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s</w:t>
            </w:r>
          </w:p>
        </w:tc>
        <w:tc>
          <w:tcPr>
            <w:tcW w:w="1038" w:type="dxa"/>
          </w:tcPr>
          <w:p w14:paraId="413CF653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Quadra</w:t>
            </w:r>
          </w:p>
        </w:tc>
        <w:tc>
          <w:tcPr>
            <w:tcW w:w="1513" w:type="dxa"/>
          </w:tcPr>
          <w:p w14:paraId="5AC2940F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F61B85" w:rsidRPr="00DA6C49" w14:paraId="0006773F" w14:textId="77777777" w:rsidTr="00EB106D">
        <w:trPr>
          <w:trHeight w:val="292"/>
          <w:jc w:val="center"/>
        </w:trPr>
        <w:tc>
          <w:tcPr>
            <w:tcW w:w="729" w:type="dxa"/>
          </w:tcPr>
          <w:p w14:paraId="0608F264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1</w:t>
            </w:r>
          </w:p>
        </w:tc>
        <w:tc>
          <w:tcPr>
            <w:tcW w:w="2527" w:type="dxa"/>
          </w:tcPr>
          <w:p w14:paraId="20479DB4" w14:textId="0EF0E9FF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1</w:t>
            </w:r>
            <w:r w:rsidR="000D620E" w:rsidRPr="00DA6C49">
              <w:rPr>
                <w:rFonts w:ascii="Cambria" w:hAnsi="Cambria" w:cs="Arial"/>
                <w:color w:val="000000"/>
                <w:sz w:val="23"/>
                <w:szCs w:val="23"/>
              </w:rPr>
              <w:t>7 ao 21, 37 e 38</w:t>
            </w:r>
          </w:p>
        </w:tc>
        <w:tc>
          <w:tcPr>
            <w:tcW w:w="1038" w:type="dxa"/>
          </w:tcPr>
          <w:p w14:paraId="7679BEC8" w14:textId="7CCAF6EC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0D620E" w:rsidRPr="00DA6C49">
              <w:rPr>
                <w:rFonts w:ascii="Cambria" w:hAnsi="Cambria" w:cs="Arial"/>
                <w:color w:val="000000"/>
                <w:sz w:val="23"/>
                <w:szCs w:val="23"/>
              </w:rPr>
              <w:t>2</w:t>
            </w:r>
          </w:p>
        </w:tc>
        <w:tc>
          <w:tcPr>
            <w:tcW w:w="1513" w:type="dxa"/>
          </w:tcPr>
          <w:p w14:paraId="3798E7EE" w14:textId="0F4DF4D9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2.066,86</w:t>
            </w:r>
          </w:p>
        </w:tc>
      </w:tr>
      <w:tr w:rsidR="00F61B85" w:rsidRPr="00DA6C49" w14:paraId="4C5B69FA" w14:textId="77777777" w:rsidTr="00EB106D">
        <w:trPr>
          <w:trHeight w:val="277"/>
          <w:jc w:val="center"/>
        </w:trPr>
        <w:tc>
          <w:tcPr>
            <w:tcW w:w="729" w:type="dxa"/>
          </w:tcPr>
          <w:p w14:paraId="131960F0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2</w:t>
            </w:r>
          </w:p>
        </w:tc>
        <w:tc>
          <w:tcPr>
            <w:tcW w:w="2527" w:type="dxa"/>
          </w:tcPr>
          <w:p w14:paraId="4FA8A1BE" w14:textId="66770FFA" w:rsidR="00F61B85" w:rsidRPr="00DA6C49" w:rsidRDefault="0092271F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01,</w:t>
            </w:r>
            <w:r w:rsidR="000D620E" w:rsidRPr="00DA6C49">
              <w:rPr>
                <w:rFonts w:ascii="Cambria" w:hAnsi="Cambria" w:cs="Arial"/>
                <w:color w:val="000000"/>
                <w:sz w:val="23"/>
                <w:szCs w:val="23"/>
              </w:rPr>
              <w:t xml:space="preserve"> 20 ao 22 e 41</w:t>
            </w:r>
          </w:p>
        </w:tc>
        <w:tc>
          <w:tcPr>
            <w:tcW w:w="1038" w:type="dxa"/>
          </w:tcPr>
          <w:p w14:paraId="1351D342" w14:textId="7FAE4156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0D620E" w:rsidRPr="00DA6C49">
              <w:rPr>
                <w:rFonts w:ascii="Cambria" w:hAnsi="Cambria" w:cs="Arial"/>
                <w:color w:val="000000"/>
                <w:sz w:val="23"/>
                <w:szCs w:val="23"/>
              </w:rPr>
              <w:t>3</w:t>
            </w:r>
          </w:p>
        </w:tc>
        <w:tc>
          <w:tcPr>
            <w:tcW w:w="1513" w:type="dxa"/>
          </w:tcPr>
          <w:p w14:paraId="45223516" w14:textId="78F2504E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1.563,11</w:t>
            </w:r>
          </w:p>
        </w:tc>
      </w:tr>
      <w:tr w:rsidR="00F61B85" w:rsidRPr="00DA6C49" w14:paraId="080B8E45" w14:textId="77777777" w:rsidTr="00EB106D">
        <w:trPr>
          <w:trHeight w:val="292"/>
          <w:jc w:val="center"/>
        </w:trPr>
        <w:tc>
          <w:tcPr>
            <w:tcW w:w="729" w:type="dxa"/>
          </w:tcPr>
          <w:p w14:paraId="69FD859E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3</w:t>
            </w:r>
          </w:p>
        </w:tc>
        <w:tc>
          <w:tcPr>
            <w:tcW w:w="2527" w:type="dxa"/>
          </w:tcPr>
          <w:p w14:paraId="3DFBEA85" w14:textId="3460C622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20 ao 22</w:t>
            </w:r>
          </w:p>
        </w:tc>
        <w:tc>
          <w:tcPr>
            <w:tcW w:w="1038" w:type="dxa"/>
          </w:tcPr>
          <w:p w14:paraId="0460CE48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04</w:t>
            </w:r>
          </w:p>
        </w:tc>
        <w:tc>
          <w:tcPr>
            <w:tcW w:w="1513" w:type="dxa"/>
          </w:tcPr>
          <w:p w14:paraId="10D64B18" w14:textId="265D3D3B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841,66</w:t>
            </w:r>
          </w:p>
        </w:tc>
      </w:tr>
      <w:tr w:rsidR="00F61B85" w:rsidRPr="00DA6C49" w14:paraId="30A14176" w14:textId="77777777" w:rsidTr="00EB106D">
        <w:trPr>
          <w:trHeight w:val="277"/>
          <w:jc w:val="center"/>
        </w:trPr>
        <w:tc>
          <w:tcPr>
            <w:tcW w:w="729" w:type="dxa"/>
          </w:tcPr>
          <w:p w14:paraId="3E5DA989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4</w:t>
            </w:r>
          </w:p>
        </w:tc>
        <w:tc>
          <w:tcPr>
            <w:tcW w:w="2527" w:type="dxa"/>
          </w:tcPr>
          <w:p w14:paraId="2A3DB6A7" w14:textId="511D9994" w:rsidR="00F61B85" w:rsidRPr="00DA6C49" w:rsidRDefault="0092271F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01,</w:t>
            </w:r>
            <w:r w:rsidR="000D620E" w:rsidRPr="00DA6C49">
              <w:rPr>
                <w:rFonts w:ascii="Cambria" w:hAnsi="Cambria" w:cs="Arial"/>
                <w:color w:val="000000"/>
                <w:sz w:val="23"/>
                <w:szCs w:val="23"/>
              </w:rPr>
              <w:t xml:space="preserve"> 07 ao 18 e 24</w:t>
            </w:r>
          </w:p>
        </w:tc>
        <w:tc>
          <w:tcPr>
            <w:tcW w:w="1038" w:type="dxa"/>
          </w:tcPr>
          <w:p w14:paraId="1C94DBE5" w14:textId="0309701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0D620E" w:rsidRPr="00DA6C49">
              <w:rPr>
                <w:rFonts w:ascii="Cambria" w:hAnsi="Cambria" w:cs="Arial"/>
                <w:color w:val="000000"/>
                <w:sz w:val="23"/>
                <w:szCs w:val="23"/>
              </w:rPr>
              <w:t>9</w:t>
            </w:r>
          </w:p>
        </w:tc>
        <w:tc>
          <w:tcPr>
            <w:tcW w:w="1513" w:type="dxa"/>
          </w:tcPr>
          <w:p w14:paraId="15C48EA6" w14:textId="0387AEBD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3.906,91</w:t>
            </w:r>
          </w:p>
        </w:tc>
      </w:tr>
      <w:tr w:rsidR="00F61B85" w:rsidRPr="00DA6C49" w14:paraId="49691999" w14:textId="77777777" w:rsidTr="00EB106D">
        <w:trPr>
          <w:trHeight w:val="292"/>
          <w:jc w:val="center"/>
        </w:trPr>
        <w:tc>
          <w:tcPr>
            <w:tcW w:w="729" w:type="dxa"/>
          </w:tcPr>
          <w:p w14:paraId="35590676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5</w:t>
            </w:r>
          </w:p>
        </w:tc>
        <w:tc>
          <w:tcPr>
            <w:tcW w:w="2527" w:type="dxa"/>
          </w:tcPr>
          <w:p w14:paraId="3359B85B" w14:textId="39800BA4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01 ao 10</w:t>
            </w:r>
          </w:p>
        </w:tc>
        <w:tc>
          <w:tcPr>
            <w:tcW w:w="1038" w:type="dxa"/>
          </w:tcPr>
          <w:p w14:paraId="14024C95" w14:textId="70916D67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13" w:type="dxa"/>
          </w:tcPr>
          <w:p w14:paraId="3740BB95" w14:textId="79B16A97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2.545,51</w:t>
            </w:r>
          </w:p>
        </w:tc>
      </w:tr>
      <w:tr w:rsidR="00F61B85" w:rsidRPr="00DA6C49" w14:paraId="738823CE" w14:textId="77777777" w:rsidTr="00EB106D">
        <w:trPr>
          <w:trHeight w:val="277"/>
          <w:jc w:val="center"/>
        </w:trPr>
        <w:tc>
          <w:tcPr>
            <w:tcW w:w="729" w:type="dxa"/>
          </w:tcPr>
          <w:p w14:paraId="6007CD95" w14:textId="77777777" w:rsidR="00F61B85" w:rsidRPr="00DA6C49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6</w:t>
            </w:r>
          </w:p>
        </w:tc>
        <w:tc>
          <w:tcPr>
            <w:tcW w:w="2527" w:type="dxa"/>
          </w:tcPr>
          <w:p w14:paraId="2666C684" w14:textId="5762DBF8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01 ao 17</w:t>
            </w:r>
          </w:p>
        </w:tc>
        <w:tc>
          <w:tcPr>
            <w:tcW w:w="1038" w:type="dxa"/>
          </w:tcPr>
          <w:p w14:paraId="4FDA7352" w14:textId="1C7290B8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11</w:t>
            </w:r>
          </w:p>
        </w:tc>
        <w:tc>
          <w:tcPr>
            <w:tcW w:w="1513" w:type="dxa"/>
          </w:tcPr>
          <w:p w14:paraId="0A86E191" w14:textId="22519703" w:rsidR="00F61B85" w:rsidRPr="00DA6C49" w:rsidRDefault="000D620E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A6C49">
              <w:rPr>
                <w:rFonts w:ascii="Cambria" w:hAnsi="Cambria" w:cs="Arial"/>
                <w:color w:val="000000"/>
                <w:sz w:val="23"/>
                <w:szCs w:val="23"/>
              </w:rPr>
              <w:t>4.348,55</w:t>
            </w:r>
          </w:p>
        </w:tc>
      </w:tr>
    </w:tbl>
    <w:p w14:paraId="4303B81A" w14:textId="77777777" w:rsidR="00037CA8" w:rsidRPr="00DA6C49" w:rsidRDefault="00037CA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sectPr w:rsidR="00037CA8" w:rsidRPr="00DA6C49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C3381" w14:textId="77777777" w:rsidR="00164667" w:rsidRDefault="00164667" w:rsidP="00786018">
      <w:pPr>
        <w:spacing w:after="0" w:line="240" w:lineRule="auto"/>
      </w:pPr>
      <w:r>
        <w:separator/>
      </w:r>
    </w:p>
  </w:endnote>
  <w:endnote w:type="continuationSeparator" w:id="0">
    <w:p w14:paraId="5509224E" w14:textId="77777777" w:rsidR="00164667" w:rsidRDefault="00164667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2BACDD48" w:rsidR="00AF05A9" w:rsidRPr="008673FA" w:rsidRDefault="00164667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 w:rsidR="00DA6C49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4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164667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8EFE" w14:textId="77777777" w:rsidR="00164667" w:rsidRDefault="00164667" w:rsidP="00786018">
      <w:pPr>
        <w:spacing w:after="0" w:line="240" w:lineRule="auto"/>
      </w:pPr>
      <w:r>
        <w:separator/>
      </w:r>
    </w:p>
  </w:footnote>
  <w:footnote w:type="continuationSeparator" w:id="0">
    <w:p w14:paraId="2BB7C93F" w14:textId="77777777" w:rsidR="00164667" w:rsidRDefault="00164667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CB7691" w:rsidRDefault="00AF05A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17BF5"/>
    <w:rsid w:val="0002443A"/>
    <w:rsid w:val="00026CC5"/>
    <w:rsid w:val="00031869"/>
    <w:rsid w:val="000318BA"/>
    <w:rsid w:val="000334C7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64AB7"/>
    <w:rsid w:val="00065FC9"/>
    <w:rsid w:val="000842A6"/>
    <w:rsid w:val="00084439"/>
    <w:rsid w:val="0008683A"/>
    <w:rsid w:val="00091F53"/>
    <w:rsid w:val="0009491F"/>
    <w:rsid w:val="000A1C02"/>
    <w:rsid w:val="000A2CAE"/>
    <w:rsid w:val="000A3479"/>
    <w:rsid w:val="000A4A5F"/>
    <w:rsid w:val="000A4D48"/>
    <w:rsid w:val="000A7A3C"/>
    <w:rsid w:val="000B0D0A"/>
    <w:rsid w:val="000B2949"/>
    <w:rsid w:val="000B50EA"/>
    <w:rsid w:val="000B60D7"/>
    <w:rsid w:val="000C0F0D"/>
    <w:rsid w:val="000C1184"/>
    <w:rsid w:val="000D4050"/>
    <w:rsid w:val="000D5DC1"/>
    <w:rsid w:val="000D620E"/>
    <w:rsid w:val="000D7A80"/>
    <w:rsid w:val="000F101E"/>
    <w:rsid w:val="000F1CF5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501D4"/>
    <w:rsid w:val="001527E0"/>
    <w:rsid w:val="00153A58"/>
    <w:rsid w:val="00156FA8"/>
    <w:rsid w:val="0016214D"/>
    <w:rsid w:val="00164667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03C4E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60C30"/>
    <w:rsid w:val="002657B0"/>
    <w:rsid w:val="0026591B"/>
    <w:rsid w:val="00266C49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B0A4C"/>
    <w:rsid w:val="002B0D37"/>
    <w:rsid w:val="002B1DD1"/>
    <w:rsid w:val="002C349F"/>
    <w:rsid w:val="002C499F"/>
    <w:rsid w:val="002C7AA2"/>
    <w:rsid w:val="002D260D"/>
    <w:rsid w:val="002D41BD"/>
    <w:rsid w:val="002E26E7"/>
    <w:rsid w:val="002E7909"/>
    <w:rsid w:val="002E793F"/>
    <w:rsid w:val="002F0C5C"/>
    <w:rsid w:val="002F3D06"/>
    <w:rsid w:val="002F6E51"/>
    <w:rsid w:val="002F7836"/>
    <w:rsid w:val="003066D8"/>
    <w:rsid w:val="00310CB6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FA1"/>
    <w:rsid w:val="003B7D15"/>
    <w:rsid w:val="003C23E4"/>
    <w:rsid w:val="003C660C"/>
    <w:rsid w:val="003C698E"/>
    <w:rsid w:val="003C7D6E"/>
    <w:rsid w:val="003E4E99"/>
    <w:rsid w:val="003E52A6"/>
    <w:rsid w:val="003E6A07"/>
    <w:rsid w:val="003F00F9"/>
    <w:rsid w:val="003F2884"/>
    <w:rsid w:val="00402795"/>
    <w:rsid w:val="00407033"/>
    <w:rsid w:val="00407040"/>
    <w:rsid w:val="00413BF5"/>
    <w:rsid w:val="0041575B"/>
    <w:rsid w:val="00424B4E"/>
    <w:rsid w:val="004325A3"/>
    <w:rsid w:val="00432CDF"/>
    <w:rsid w:val="00433889"/>
    <w:rsid w:val="00434662"/>
    <w:rsid w:val="00436C76"/>
    <w:rsid w:val="00445B39"/>
    <w:rsid w:val="00450CF6"/>
    <w:rsid w:val="00465396"/>
    <w:rsid w:val="00472ECA"/>
    <w:rsid w:val="00475A97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60DA"/>
    <w:rsid w:val="004E0385"/>
    <w:rsid w:val="004E0694"/>
    <w:rsid w:val="004E0728"/>
    <w:rsid w:val="004E3E3F"/>
    <w:rsid w:val="004F34BB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44451"/>
    <w:rsid w:val="005459B5"/>
    <w:rsid w:val="00547E28"/>
    <w:rsid w:val="005576DE"/>
    <w:rsid w:val="00566FCC"/>
    <w:rsid w:val="00572FCC"/>
    <w:rsid w:val="00573FE5"/>
    <w:rsid w:val="00575EFC"/>
    <w:rsid w:val="005762B5"/>
    <w:rsid w:val="00583F8A"/>
    <w:rsid w:val="005905DB"/>
    <w:rsid w:val="00591216"/>
    <w:rsid w:val="005A0C72"/>
    <w:rsid w:val="005A1EED"/>
    <w:rsid w:val="005A4A9C"/>
    <w:rsid w:val="005B2FA8"/>
    <w:rsid w:val="005B590C"/>
    <w:rsid w:val="005B6700"/>
    <w:rsid w:val="005B6CF1"/>
    <w:rsid w:val="005D024A"/>
    <w:rsid w:val="005D4348"/>
    <w:rsid w:val="005D4CF8"/>
    <w:rsid w:val="005D554C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07A5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6216F"/>
    <w:rsid w:val="00667C9F"/>
    <w:rsid w:val="006704AF"/>
    <w:rsid w:val="00670E9C"/>
    <w:rsid w:val="0067141C"/>
    <w:rsid w:val="0067154E"/>
    <w:rsid w:val="006817A5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4C9A"/>
    <w:rsid w:val="006D3612"/>
    <w:rsid w:val="006D75CD"/>
    <w:rsid w:val="006E2572"/>
    <w:rsid w:val="006F2DE9"/>
    <w:rsid w:val="00705205"/>
    <w:rsid w:val="007122C9"/>
    <w:rsid w:val="0071282F"/>
    <w:rsid w:val="007177F7"/>
    <w:rsid w:val="00717BF1"/>
    <w:rsid w:val="007258BA"/>
    <w:rsid w:val="007429F3"/>
    <w:rsid w:val="00743666"/>
    <w:rsid w:val="00744FCF"/>
    <w:rsid w:val="00745707"/>
    <w:rsid w:val="007473F5"/>
    <w:rsid w:val="0075083B"/>
    <w:rsid w:val="0075690B"/>
    <w:rsid w:val="00757447"/>
    <w:rsid w:val="00761752"/>
    <w:rsid w:val="00764005"/>
    <w:rsid w:val="00767708"/>
    <w:rsid w:val="00774DE4"/>
    <w:rsid w:val="00783907"/>
    <w:rsid w:val="00786018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20810"/>
    <w:rsid w:val="00821BA0"/>
    <w:rsid w:val="00836EE8"/>
    <w:rsid w:val="0084168E"/>
    <w:rsid w:val="00842E51"/>
    <w:rsid w:val="008457F3"/>
    <w:rsid w:val="00846186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D12AC"/>
    <w:rsid w:val="008E127D"/>
    <w:rsid w:val="008E13BF"/>
    <w:rsid w:val="008E57B6"/>
    <w:rsid w:val="008E5AF8"/>
    <w:rsid w:val="008E5DBD"/>
    <w:rsid w:val="008F4582"/>
    <w:rsid w:val="00904564"/>
    <w:rsid w:val="00905DC4"/>
    <w:rsid w:val="00910510"/>
    <w:rsid w:val="009138F9"/>
    <w:rsid w:val="00915E2D"/>
    <w:rsid w:val="009175E7"/>
    <w:rsid w:val="00920707"/>
    <w:rsid w:val="0092271F"/>
    <w:rsid w:val="00925DF9"/>
    <w:rsid w:val="009326D5"/>
    <w:rsid w:val="00936EBD"/>
    <w:rsid w:val="0094054F"/>
    <w:rsid w:val="00940D62"/>
    <w:rsid w:val="0094374F"/>
    <w:rsid w:val="00947CC6"/>
    <w:rsid w:val="00950BB4"/>
    <w:rsid w:val="00951785"/>
    <w:rsid w:val="0095771E"/>
    <w:rsid w:val="009605A1"/>
    <w:rsid w:val="00964B32"/>
    <w:rsid w:val="0096532B"/>
    <w:rsid w:val="009661E7"/>
    <w:rsid w:val="00971F28"/>
    <w:rsid w:val="00977AE6"/>
    <w:rsid w:val="009847D3"/>
    <w:rsid w:val="00990262"/>
    <w:rsid w:val="00990627"/>
    <w:rsid w:val="00991FF5"/>
    <w:rsid w:val="009946DC"/>
    <w:rsid w:val="009A0D11"/>
    <w:rsid w:val="009A2EBF"/>
    <w:rsid w:val="009A6C76"/>
    <w:rsid w:val="009B01CE"/>
    <w:rsid w:val="009B2FB4"/>
    <w:rsid w:val="009B3CAB"/>
    <w:rsid w:val="009B49F0"/>
    <w:rsid w:val="009B73E9"/>
    <w:rsid w:val="009C4477"/>
    <w:rsid w:val="009C4496"/>
    <w:rsid w:val="009C7385"/>
    <w:rsid w:val="009D1DA3"/>
    <w:rsid w:val="009D44CD"/>
    <w:rsid w:val="009D4A46"/>
    <w:rsid w:val="009D543B"/>
    <w:rsid w:val="009E0450"/>
    <w:rsid w:val="009E059C"/>
    <w:rsid w:val="009E1694"/>
    <w:rsid w:val="009E3C2C"/>
    <w:rsid w:val="009E5620"/>
    <w:rsid w:val="009E57B6"/>
    <w:rsid w:val="009E7256"/>
    <w:rsid w:val="009F37DA"/>
    <w:rsid w:val="009F54EE"/>
    <w:rsid w:val="009F76D6"/>
    <w:rsid w:val="00A01D6E"/>
    <w:rsid w:val="00A04DE6"/>
    <w:rsid w:val="00A07CB7"/>
    <w:rsid w:val="00A162A2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33CD"/>
    <w:rsid w:val="00A909AD"/>
    <w:rsid w:val="00A952CC"/>
    <w:rsid w:val="00A95615"/>
    <w:rsid w:val="00AA4A0E"/>
    <w:rsid w:val="00AB51D0"/>
    <w:rsid w:val="00AB57F7"/>
    <w:rsid w:val="00AC3202"/>
    <w:rsid w:val="00AC5112"/>
    <w:rsid w:val="00AC7A64"/>
    <w:rsid w:val="00AD47AE"/>
    <w:rsid w:val="00AE199A"/>
    <w:rsid w:val="00AE2895"/>
    <w:rsid w:val="00AF05A9"/>
    <w:rsid w:val="00AF4DB2"/>
    <w:rsid w:val="00AF790D"/>
    <w:rsid w:val="00B015D2"/>
    <w:rsid w:val="00B10BFA"/>
    <w:rsid w:val="00B115EE"/>
    <w:rsid w:val="00B14B57"/>
    <w:rsid w:val="00B14EC2"/>
    <w:rsid w:val="00B15720"/>
    <w:rsid w:val="00B158F0"/>
    <w:rsid w:val="00B25E8D"/>
    <w:rsid w:val="00B30B8F"/>
    <w:rsid w:val="00B334C4"/>
    <w:rsid w:val="00B43A96"/>
    <w:rsid w:val="00B523F5"/>
    <w:rsid w:val="00B5276B"/>
    <w:rsid w:val="00B578F1"/>
    <w:rsid w:val="00B61C2A"/>
    <w:rsid w:val="00B64C2F"/>
    <w:rsid w:val="00B64E18"/>
    <w:rsid w:val="00B77C27"/>
    <w:rsid w:val="00B83D7A"/>
    <w:rsid w:val="00B840E7"/>
    <w:rsid w:val="00B959B6"/>
    <w:rsid w:val="00BA543F"/>
    <w:rsid w:val="00BA57C8"/>
    <w:rsid w:val="00BA5B75"/>
    <w:rsid w:val="00BB1C2C"/>
    <w:rsid w:val="00BC1704"/>
    <w:rsid w:val="00BC51E2"/>
    <w:rsid w:val="00BC5976"/>
    <w:rsid w:val="00BD11FF"/>
    <w:rsid w:val="00BD47F5"/>
    <w:rsid w:val="00BE7A44"/>
    <w:rsid w:val="00BE7BF1"/>
    <w:rsid w:val="00C014BA"/>
    <w:rsid w:val="00C01828"/>
    <w:rsid w:val="00C04908"/>
    <w:rsid w:val="00C06C4A"/>
    <w:rsid w:val="00C11042"/>
    <w:rsid w:val="00C11C8D"/>
    <w:rsid w:val="00C170FC"/>
    <w:rsid w:val="00C27060"/>
    <w:rsid w:val="00C2710D"/>
    <w:rsid w:val="00C31E14"/>
    <w:rsid w:val="00C32FDB"/>
    <w:rsid w:val="00C3377E"/>
    <w:rsid w:val="00C33D8E"/>
    <w:rsid w:val="00C44676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A03B3"/>
    <w:rsid w:val="00CA1B2F"/>
    <w:rsid w:val="00CA528D"/>
    <w:rsid w:val="00CA7846"/>
    <w:rsid w:val="00CA7B42"/>
    <w:rsid w:val="00CB64F2"/>
    <w:rsid w:val="00CC17FB"/>
    <w:rsid w:val="00CC4AD9"/>
    <w:rsid w:val="00CC704D"/>
    <w:rsid w:val="00CD0C11"/>
    <w:rsid w:val="00CD4AF8"/>
    <w:rsid w:val="00CF13FC"/>
    <w:rsid w:val="00CF4066"/>
    <w:rsid w:val="00CF7E2F"/>
    <w:rsid w:val="00D0010B"/>
    <w:rsid w:val="00D00C07"/>
    <w:rsid w:val="00D00D33"/>
    <w:rsid w:val="00D02B25"/>
    <w:rsid w:val="00D05147"/>
    <w:rsid w:val="00D07057"/>
    <w:rsid w:val="00D11346"/>
    <w:rsid w:val="00D1216F"/>
    <w:rsid w:val="00D20A52"/>
    <w:rsid w:val="00D24018"/>
    <w:rsid w:val="00D24C72"/>
    <w:rsid w:val="00D32137"/>
    <w:rsid w:val="00D37358"/>
    <w:rsid w:val="00D37BB9"/>
    <w:rsid w:val="00D37DDC"/>
    <w:rsid w:val="00D45A5A"/>
    <w:rsid w:val="00D50012"/>
    <w:rsid w:val="00D52DD3"/>
    <w:rsid w:val="00D5456D"/>
    <w:rsid w:val="00D618F7"/>
    <w:rsid w:val="00D67CD1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A6C49"/>
    <w:rsid w:val="00DB6246"/>
    <w:rsid w:val="00DC23BE"/>
    <w:rsid w:val="00DC502E"/>
    <w:rsid w:val="00DC5192"/>
    <w:rsid w:val="00DC7EA2"/>
    <w:rsid w:val="00DE668F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478B"/>
    <w:rsid w:val="00E30CFE"/>
    <w:rsid w:val="00E32655"/>
    <w:rsid w:val="00E408AB"/>
    <w:rsid w:val="00E46830"/>
    <w:rsid w:val="00E46F89"/>
    <w:rsid w:val="00E50D37"/>
    <w:rsid w:val="00E51980"/>
    <w:rsid w:val="00E55EC9"/>
    <w:rsid w:val="00E60B9F"/>
    <w:rsid w:val="00E60D8F"/>
    <w:rsid w:val="00E61681"/>
    <w:rsid w:val="00E72B1F"/>
    <w:rsid w:val="00E84422"/>
    <w:rsid w:val="00E8652D"/>
    <w:rsid w:val="00E87C55"/>
    <w:rsid w:val="00E87D8D"/>
    <w:rsid w:val="00E91096"/>
    <w:rsid w:val="00E9212B"/>
    <w:rsid w:val="00E961D5"/>
    <w:rsid w:val="00EA1004"/>
    <w:rsid w:val="00EA17C1"/>
    <w:rsid w:val="00EA7DAA"/>
    <w:rsid w:val="00EB0C9B"/>
    <w:rsid w:val="00EB106D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7CF1"/>
    <w:rsid w:val="00F55C36"/>
    <w:rsid w:val="00F563D7"/>
    <w:rsid w:val="00F61B85"/>
    <w:rsid w:val="00F63D59"/>
    <w:rsid w:val="00F64DD8"/>
    <w:rsid w:val="00F65BE3"/>
    <w:rsid w:val="00F716C2"/>
    <w:rsid w:val="00F75568"/>
    <w:rsid w:val="00F93189"/>
    <w:rsid w:val="00F94353"/>
    <w:rsid w:val="00F9629B"/>
    <w:rsid w:val="00FA113B"/>
    <w:rsid w:val="00FA29C8"/>
    <w:rsid w:val="00FA74FC"/>
    <w:rsid w:val="00FB2F25"/>
    <w:rsid w:val="00FC534F"/>
    <w:rsid w:val="00FC5725"/>
    <w:rsid w:val="00FC7380"/>
    <w:rsid w:val="00FD287E"/>
    <w:rsid w:val="00FE02EF"/>
    <w:rsid w:val="00FF0358"/>
    <w:rsid w:val="00FF6070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4A37C-A7CF-40A7-931C-7D5369CD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1289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DESKTOP-PMJ</cp:lastModifiedBy>
  <cp:revision>5</cp:revision>
  <cp:lastPrinted>2022-06-01T18:35:00Z</cp:lastPrinted>
  <dcterms:created xsi:type="dcterms:W3CDTF">2025-02-13T21:51:00Z</dcterms:created>
  <dcterms:modified xsi:type="dcterms:W3CDTF">2025-02-13T21:58:00Z</dcterms:modified>
</cp:coreProperties>
</file>