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06D" w:rsidRPr="005F232D" w:rsidRDefault="0047306D" w:rsidP="005F232D">
      <w:pPr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5F232D">
        <w:rPr>
          <w:rFonts w:ascii="Cambria" w:hAnsi="Cambria" w:cs="Arial"/>
          <w:b/>
          <w:sz w:val="23"/>
          <w:szCs w:val="23"/>
        </w:rPr>
        <w:t>Decreto n° 2.10</w:t>
      </w:r>
      <w:r w:rsidR="00C34EA1">
        <w:rPr>
          <w:rFonts w:ascii="Cambria" w:hAnsi="Cambria" w:cs="Arial"/>
          <w:b/>
          <w:sz w:val="23"/>
          <w:szCs w:val="23"/>
        </w:rPr>
        <w:t>5</w:t>
      </w:r>
      <w:r w:rsidRPr="005F232D">
        <w:rPr>
          <w:rFonts w:ascii="Cambria" w:hAnsi="Cambria" w:cs="Arial"/>
          <w:b/>
          <w:sz w:val="23"/>
          <w:szCs w:val="23"/>
        </w:rPr>
        <w:t xml:space="preserve">, de </w:t>
      </w:r>
      <w:r w:rsidR="00BD6ABB" w:rsidRPr="005F232D">
        <w:rPr>
          <w:rFonts w:ascii="Cambria" w:hAnsi="Cambria" w:cs="Arial"/>
          <w:b/>
          <w:sz w:val="23"/>
          <w:szCs w:val="23"/>
        </w:rPr>
        <w:t xml:space="preserve">05 </w:t>
      </w:r>
      <w:r w:rsidRPr="005F232D">
        <w:rPr>
          <w:rFonts w:ascii="Cambria" w:hAnsi="Cambria" w:cs="Arial"/>
          <w:b/>
          <w:sz w:val="23"/>
          <w:szCs w:val="23"/>
        </w:rPr>
        <w:t>de ju</w:t>
      </w:r>
      <w:r w:rsidR="00BD6ABB" w:rsidRPr="005F232D">
        <w:rPr>
          <w:rFonts w:ascii="Cambria" w:hAnsi="Cambria" w:cs="Arial"/>
          <w:b/>
          <w:sz w:val="23"/>
          <w:szCs w:val="23"/>
        </w:rPr>
        <w:t>l</w:t>
      </w:r>
      <w:r w:rsidRPr="005F232D">
        <w:rPr>
          <w:rFonts w:ascii="Cambria" w:hAnsi="Cambria" w:cs="Arial"/>
          <w:b/>
          <w:sz w:val="23"/>
          <w:szCs w:val="23"/>
        </w:rPr>
        <w:t>ho de 2024.</w:t>
      </w:r>
    </w:p>
    <w:p w:rsidR="0047306D" w:rsidRPr="005F232D" w:rsidRDefault="0047306D" w:rsidP="005F232D">
      <w:pPr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</w:p>
    <w:p w:rsidR="0047306D" w:rsidRPr="005F232D" w:rsidRDefault="00BD6ABB" w:rsidP="005F232D">
      <w:pPr>
        <w:pStyle w:val="Standard"/>
        <w:ind w:left="3969"/>
        <w:jc w:val="both"/>
        <w:rPr>
          <w:rFonts w:ascii="Cambria" w:hAnsi="Cambria" w:cs="Arial"/>
          <w:b/>
          <w:bCs/>
          <w:sz w:val="23"/>
          <w:szCs w:val="23"/>
        </w:rPr>
      </w:pPr>
      <w:r w:rsidRPr="005F232D">
        <w:rPr>
          <w:rFonts w:ascii="Cambria" w:hAnsi="Cambria" w:cs="Arial"/>
          <w:b/>
          <w:bCs/>
          <w:sz w:val="23"/>
          <w:szCs w:val="23"/>
        </w:rPr>
        <w:t>Dispõe sobre aprovação do loteamento Público de Interesse Social denominado Santa Terezinha II, no perímetro urbano de Juara.</w:t>
      </w:r>
    </w:p>
    <w:p w:rsidR="0047306D" w:rsidRPr="005F232D" w:rsidRDefault="0047306D" w:rsidP="005F232D">
      <w:pPr>
        <w:pStyle w:val="western"/>
        <w:spacing w:before="0" w:beforeAutospacing="0" w:after="0"/>
        <w:ind w:left="3986"/>
        <w:jc w:val="both"/>
        <w:rPr>
          <w:rFonts w:ascii="Cambria" w:hAnsi="Cambria" w:cs="Arial"/>
          <w:sz w:val="23"/>
          <w:szCs w:val="23"/>
        </w:rPr>
      </w:pPr>
    </w:p>
    <w:p w:rsidR="0047306D" w:rsidRPr="005F232D" w:rsidRDefault="0047306D" w:rsidP="005F232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</w:t>
      </w:r>
    </w:p>
    <w:p w:rsidR="0047306D" w:rsidRPr="005F232D" w:rsidRDefault="0047306D" w:rsidP="005F232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3"/>
          <w:szCs w:val="23"/>
        </w:rPr>
      </w:pPr>
    </w:p>
    <w:p w:rsidR="0047306D" w:rsidRPr="005F232D" w:rsidRDefault="0047306D" w:rsidP="005F232D">
      <w:pPr>
        <w:pStyle w:val="Standard"/>
        <w:ind w:firstLine="1395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 xml:space="preserve">Considerando </w:t>
      </w:r>
      <w:r w:rsidR="00BD6ABB" w:rsidRPr="005F232D">
        <w:rPr>
          <w:rFonts w:ascii="Cambria" w:hAnsi="Cambria" w:cs="Arial"/>
          <w:sz w:val="23"/>
          <w:szCs w:val="23"/>
        </w:rPr>
        <w:t>a Lei Federal nº 6.766/1979, que dispõe sobre as regras gerais de parcelamento urbano</w:t>
      </w:r>
      <w:r w:rsidRPr="005F232D">
        <w:rPr>
          <w:rFonts w:ascii="Cambria" w:hAnsi="Cambria" w:cs="Arial"/>
          <w:sz w:val="23"/>
          <w:szCs w:val="23"/>
        </w:rPr>
        <w:t>;</w:t>
      </w:r>
    </w:p>
    <w:p w:rsidR="0047306D" w:rsidRPr="005F232D" w:rsidRDefault="0047306D" w:rsidP="005F232D">
      <w:pPr>
        <w:pStyle w:val="Standard"/>
        <w:ind w:firstLine="1395"/>
        <w:jc w:val="both"/>
        <w:rPr>
          <w:rFonts w:ascii="Cambria" w:hAnsi="Cambria" w:cs="Arial"/>
          <w:sz w:val="23"/>
          <w:szCs w:val="23"/>
        </w:rPr>
      </w:pPr>
    </w:p>
    <w:p w:rsidR="0047306D" w:rsidRPr="005F232D" w:rsidRDefault="0047306D" w:rsidP="005F232D">
      <w:pPr>
        <w:pStyle w:val="Standard"/>
        <w:ind w:firstLine="1395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 xml:space="preserve">Considerando </w:t>
      </w:r>
      <w:r w:rsidR="00BD6ABB" w:rsidRPr="005F232D">
        <w:rPr>
          <w:rFonts w:ascii="Cambria" w:hAnsi="Cambria" w:cs="Arial"/>
          <w:sz w:val="23"/>
          <w:szCs w:val="23"/>
        </w:rPr>
        <w:t>as disposições da Lei Complementar nº 019, de 17 de novembro de 2006, legislação municipal</w:t>
      </w:r>
      <w:r w:rsidRPr="005F232D">
        <w:rPr>
          <w:rFonts w:ascii="Cambria" w:hAnsi="Cambria" w:cs="Arial"/>
          <w:sz w:val="23"/>
          <w:szCs w:val="23"/>
        </w:rPr>
        <w:t>;</w:t>
      </w:r>
    </w:p>
    <w:p w:rsidR="00207968" w:rsidRPr="005F232D" w:rsidRDefault="00207968" w:rsidP="005F232D">
      <w:pPr>
        <w:pStyle w:val="western"/>
        <w:spacing w:before="0" w:beforeAutospacing="0" w:after="0"/>
        <w:jc w:val="both"/>
        <w:rPr>
          <w:rFonts w:ascii="Cambria" w:eastAsia="SimSun" w:hAnsi="Cambria" w:cs="Arial"/>
          <w:kern w:val="3"/>
          <w:sz w:val="23"/>
          <w:szCs w:val="23"/>
          <w:lang w:eastAsia="zh-CN" w:bidi="hi-IN"/>
        </w:rPr>
      </w:pPr>
    </w:p>
    <w:p w:rsidR="00207968" w:rsidRPr="005F232D" w:rsidRDefault="00BD6ABB" w:rsidP="005F232D">
      <w:pPr>
        <w:pStyle w:val="western"/>
        <w:spacing w:before="0" w:beforeAutospacing="0" w:after="0"/>
        <w:ind w:firstLine="1418"/>
        <w:jc w:val="both"/>
        <w:rPr>
          <w:rFonts w:ascii="Cambria" w:eastAsia="SimSun" w:hAnsi="Cambria" w:cs="Arial"/>
          <w:kern w:val="3"/>
          <w:sz w:val="23"/>
          <w:szCs w:val="23"/>
          <w:lang w:eastAsia="zh-CN" w:bidi="hi-IN"/>
        </w:rPr>
      </w:pPr>
      <w:r w:rsidRPr="005F232D">
        <w:rPr>
          <w:rFonts w:ascii="Cambria" w:eastAsia="SimSun" w:hAnsi="Cambria" w:cs="Arial"/>
          <w:kern w:val="3"/>
          <w:sz w:val="23"/>
          <w:szCs w:val="23"/>
          <w:lang w:eastAsia="zh-CN" w:bidi="hi-IN"/>
        </w:rPr>
        <w:t>Considerando a Lei Municipal nº 3.203</w:t>
      </w:r>
      <w:r w:rsidR="005F232D">
        <w:rPr>
          <w:rFonts w:ascii="Cambria" w:eastAsia="SimSun" w:hAnsi="Cambria" w:cs="Arial"/>
          <w:kern w:val="3"/>
          <w:sz w:val="23"/>
          <w:szCs w:val="23"/>
          <w:lang w:eastAsia="zh-CN" w:bidi="hi-IN"/>
        </w:rPr>
        <w:t>, de 05 de julho de 2024</w:t>
      </w:r>
      <w:r w:rsidRPr="005F232D">
        <w:rPr>
          <w:rFonts w:ascii="Cambria" w:eastAsia="SimSun" w:hAnsi="Cambria" w:cs="Arial"/>
          <w:kern w:val="3"/>
          <w:sz w:val="23"/>
          <w:szCs w:val="23"/>
          <w:lang w:eastAsia="zh-CN" w:bidi="hi-IN"/>
        </w:rPr>
        <w:t xml:space="preserve"> que, dispõe sobre a aprovação do loteamento Interesse Social denominado Santa Teresinha II, no perímetro urbano de Juara.</w:t>
      </w:r>
    </w:p>
    <w:p w:rsidR="005F232D" w:rsidRDefault="005F232D" w:rsidP="005F232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3"/>
          <w:szCs w:val="23"/>
        </w:rPr>
      </w:pPr>
    </w:p>
    <w:p w:rsidR="0047306D" w:rsidRPr="005F232D" w:rsidRDefault="0047306D" w:rsidP="005F232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>DECRETA:</w:t>
      </w:r>
    </w:p>
    <w:p w:rsidR="0047306D" w:rsidRPr="005F232D" w:rsidRDefault="0047306D" w:rsidP="005F232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3"/>
          <w:szCs w:val="23"/>
        </w:rPr>
      </w:pPr>
    </w:p>
    <w:p w:rsidR="0047306D" w:rsidRPr="005F232D" w:rsidRDefault="0047306D" w:rsidP="005F232D">
      <w:pPr>
        <w:pStyle w:val="Standard"/>
        <w:ind w:firstLine="1395"/>
        <w:jc w:val="both"/>
        <w:rPr>
          <w:rFonts w:ascii="Cambria" w:hAnsi="Cambria" w:cs="Arial"/>
          <w:bCs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 xml:space="preserve">Art. 1º </w:t>
      </w:r>
      <w:r w:rsidR="00BD6ABB" w:rsidRPr="005F232D">
        <w:rPr>
          <w:rFonts w:ascii="Cambria" w:hAnsi="Cambria" w:cs="Arial"/>
          <w:sz w:val="23"/>
          <w:szCs w:val="23"/>
        </w:rPr>
        <w:t>Fica aprovado o Loteamento Público de Interesse Social denominado Santa Terezinha II, localizado nesta Cidade de Juara, Estado de Mato Grosso, de propriedade da Prefeitura Municipal, inscrita no CNPJ sob nº 15.072.663/0001-99, estabelecida na Rua Niterói, 81-N, Centro, inscrito na matricula nº 17.063 no RCI de Juara, conforme projetos em anexo.</w:t>
      </w:r>
    </w:p>
    <w:p w:rsidR="0047306D" w:rsidRPr="005F232D" w:rsidRDefault="0047306D" w:rsidP="005F232D">
      <w:pPr>
        <w:pStyle w:val="Standard"/>
        <w:ind w:firstLine="1410"/>
        <w:jc w:val="both"/>
        <w:rPr>
          <w:rFonts w:ascii="Cambria" w:hAnsi="Cambria" w:cs="Arial"/>
          <w:sz w:val="23"/>
          <w:szCs w:val="23"/>
        </w:rPr>
      </w:pPr>
    </w:p>
    <w:p w:rsidR="005F232D" w:rsidRPr="005F232D" w:rsidRDefault="005F232D" w:rsidP="005F232D">
      <w:pPr>
        <w:tabs>
          <w:tab w:val="left" w:pos="3402"/>
        </w:tabs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 xml:space="preserve">Art. 2º O Loteamento destina-se a implantação do Conjunto Habitacional Santa Terezinha </w:t>
      </w:r>
      <w:r w:rsidR="0029712C">
        <w:rPr>
          <w:rFonts w:ascii="Cambria" w:hAnsi="Cambria" w:cs="Arial"/>
          <w:sz w:val="23"/>
          <w:szCs w:val="23"/>
        </w:rPr>
        <w:t>I</w:t>
      </w:r>
      <w:bookmarkStart w:id="0" w:name="_GoBack"/>
      <w:bookmarkEnd w:id="0"/>
      <w:r w:rsidRPr="005F232D">
        <w:rPr>
          <w:rFonts w:ascii="Cambria" w:hAnsi="Cambria" w:cs="Arial"/>
          <w:sz w:val="23"/>
          <w:szCs w:val="23"/>
        </w:rPr>
        <w:t>I” do Programa Minha Casa Minha Vida.</w:t>
      </w:r>
    </w:p>
    <w:p w:rsidR="005F232D" w:rsidRPr="005F232D" w:rsidRDefault="005F232D" w:rsidP="005F232D">
      <w:pPr>
        <w:tabs>
          <w:tab w:val="left" w:pos="3402"/>
        </w:tabs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:rsidR="005F232D" w:rsidRPr="005F232D" w:rsidRDefault="005F232D" w:rsidP="005F232D">
      <w:pPr>
        <w:tabs>
          <w:tab w:val="left" w:pos="3402"/>
        </w:tabs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 xml:space="preserve">Art. 3º O loteamento perfaz uma área total de 30.381,82m², dividido em 100 (cem) lotes residenciais, distribuídos em 05 quadras com 20 lotes de 180,00 m² cada, que perfazem uma área de 18.000,00m², correspondente a 59,25%, o restante da área, destinada como áreas públicas, assim distribuídas: </w:t>
      </w:r>
    </w:p>
    <w:p w:rsidR="005F232D" w:rsidRPr="005F232D" w:rsidRDefault="005F232D" w:rsidP="005F232D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>§ 1º Será destinado uma área de 7.396,51m², para Vias de Circulação, correspondendo a 22,11% da área total.</w:t>
      </w:r>
    </w:p>
    <w:p w:rsidR="005F232D" w:rsidRPr="005F232D" w:rsidRDefault="005F232D" w:rsidP="005F232D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>§ 2º Será destinado uma área de 3.341,87m², para Área Livre ou Área Verde, correspondendo a 11,00% da área total.</w:t>
      </w:r>
    </w:p>
    <w:p w:rsidR="005F232D" w:rsidRPr="005F232D" w:rsidRDefault="005F232D" w:rsidP="005F232D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>§ 3º São destinados uma área com 2.320,77m², para Equipamentos Comunitários, correspondendo 7,64% da área total.</w:t>
      </w:r>
    </w:p>
    <w:p w:rsidR="005F232D" w:rsidRPr="005F232D" w:rsidRDefault="005F232D" w:rsidP="005F232D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:rsidR="005F232D" w:rsidRPr="005F232D" w:rsidRDefault="005F232D" w:rsidP="005F232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>Art. 4º Este Decreto entra em vigor na data da sua publicação.</w:t>
      </w:r>
    </w:p>
    <w:p w:rsidR="005F232D" w:rsidRPr="005F232D" w:rsidRDefault="005F232D" w:rsidP="005F232D">
      <w:pPr>
        <w:pStyle w:val="Standard"/>
        <w:jc w:val="both"/>
        <w:rPr>
          <w:rFonts w:ascii="Cambria" w:hAnsi="Cambria" w:cs="Arial"/>
          <w:sz w:val="23"/>
          <w:szCs w:val="23"/>
        </w:rPr>
      </w:pPr>
    </w:p>
    <w:p w:rsidR="0047306D" w:rsidRPr="005F232D" w:rsidRDefault="0047306D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>Governo Municipal de Juara, Estado de Mato</w:t>
      </w:r>
    </w:p>
    <w:p w:rsidR="005F232D" w:rsidRDefault="0047306D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 xml:space="preserve">Grosso, </w:t>
      </w:r>
      <w:r w:rsidR="005F232D">
        <w:rPr>
          <w:rFonts w:ascii="Cambria" w:hAnsi="Cambria" w:cs="Arial"/>
          <w:sz w:val="23"/>
          <w:szCs w:val="23"/>
        </w:rPr>
        <w:t>05</w:t>
      </w:r>
      <w:r w:rsidRPr="005F232D">
        <w:rPr>
          <w:rFonts w:ascii="Cambria" w:hAnsi="Cambria" w:cs="Arial"/>
          <w:sz w:val="23"/>
          <w:szCs w:val="23"/>
        </w:rPr>
        <w:t xml:space="preserve"> de ju</w:t>
      </w:r>
      <w:r w:rsidR="005F232D">
        <w:rPr>
          <w:rFonts w:ascii="Cambria" w:hAnsi="Cambria" w:cs="Arial"/>
          <w:sz w:val="23"/>
          <w:szCs w:val="23"/>
        </w:rPr>
        <w:t>l</w:t>
      </w:r>
      <w:r w:rsidRPr="005F232D">
        <w:rPr>
          <w:rFonts w:ascii="Cambria" w:hAnsi="Cambria" w:cs="Arial"/>
          <w:sz w:val="23"/>
          <w:szCs w:val="23"/>
        </w:rPr>
        <w:t>ho de 2024.</w:t>
      </w:r>
    </w:p>
    <w:p w:rsidR="005F232D" w:rsidRDefault="005F232D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:rsidR="005F232D" w:rsidRDefault="005F232D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:rsidR="005F232D" w:rsidRDefault="005F232D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:rsidR="005F232D" w:rsidRPr="005F232D" w:rsidRDefault="005F232D" w:rsidP="005F232D">
      <w:pPr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5F232D">
        <w:rPr>
          <w:rFonts w:ascii="Cambria" w:hAnsi="Cambria" w:cs="Arial"/>
          <w:b/>
          <w:sz w:val="23"/>
          <w:szCs w:val="23"/>
        </w:rPr>
        <w:t>Carlos Amadeu Sirena</w:t>
      </w:r>
    </w:p>
    <w:p w:rsidR="005F232D" w:rsidRPr="005F232D" w:rsidRDefault="005F232D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Prefeito Municipal</w:t>
      </w:r>
    </w:p>
    <w:sectPr w:rsidR="005F232D" w:rsidRPr="005F232D" w:rsidSect="005F232D">
      <w:headerReference w:type="default" r:id="rId6"/>
      <w:footerReference w:type="default" r:id="rId7"/>
      <w:pgSz w:w="11906" w:h="16838" w:code="9"/>
      <w:pgMar w:top="1418" w:right="1361" w:bottom="709" w:left="1588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ED8" w:rsidRDefault="00C07ED8">
      <w:pPr>
        <w:spacing w:after="0" w:line="240" w:lineRule="auto"/>
      </w:pPr>
      <w:r>
        <w:separator/>
      </w:r>
    </w:p>
  </w:endnote>
  <w:endnote w:type="continuationSeparator" w:id="0">
    <w:p w:rsidR="00C07ED8" w:rsidRDefault="00C0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9640"/>
      <w:gridCol w:w="708"/>
    </w:tblGrid>
    <w:tr w:rsidR="00BF3AF5" w:rsidTr="000863B3">
      <w:tc>
        <w:tcPr>
          <w:tcW w:w="9640" w:type="dxa"/>
        </w:tcPr>
        <w:p w:rsidR="00BF3AF5" w:rsidRPr="00E61183" w:rsidRDefault="00874C4A" w:rsidP="00E61183">
          <w:pPr>
            <w:pStyle w:val="Rodap"/>
            <w:jc w:val="both"/>
            <w:rPr>
              <w:rFonts w:ascii="Arial" w:hAnsi="Arial" w:cs="Arial"/>
              <w:sz w:val="22"/>
              <w:szCs w:val="22"/>
            </w:rPr>
          </w:pPr>
          <w:r w:rsidRPr="00E61183">
            <w:rPr>
              <w:rFonts w:ascii="Arial" w:hAnsi="Arial" w:cs="Arial"/>
              <w:sz w:val="22"/>
              <w:szCs w:val="22"/>
            </w:rPr>
            <w:t xml:space="preserve">Rua Niterói, 81-N, Centro    –       Fone: (66) 3556.9400    -      CEP: 78575-000    -    Juara-MT        </w:t>
          </w:r>
        </w:p>
        <w:p w:rsidR="00BF3AF5" w:rsidRPr="00E61183" w:rsidRDefault="00874C4A" w:rsidP="00E61183">
          <w:pPr>
            <w:spacing w:after="0" w:line="240" w:lineRule="auto"/>
            <w:jc w:val="both"/>
            <w:rPr>
              <w:rFonts w:ascii="Cambria" w:hAnsi="Cambria" w:cs="Arial"/>
            </w:rPr>
          </w:pPr>
          <w:r w:rsidRPr="00E61183">
            <w:rPr>
              <w:rFonts w:ascii="Arial" w:hAnsi="Arial" w:cs="Arial"/>
            </w:rPr>
            <w:t xml:space="preserve">Site: </w:t>
          </w:r>
          <w:hyperlink r:id="rId1" w:history="1">
            <w:r w:rsidRPr="00E61183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E61183">
            <w:rPr>
              <w:rFonts w:ascii="Arial" w:hAnsi="Arial" w:cs="Arial"/>
            </w:rPr>
            <w:t xml:space="preserve">    -     E-mail: </w:t>
          </w:r>
          <w:hyperlink r:id="rId2" w:history="1">
            <w:r w:rsidRPr="00E61183">
              <w:rPr>
                <w:rStyle w:val="Hyperlink"/>
                <w:rFonts w:ascii="Arial" w:hAnsi="Arial" w:cs="Arial"/>
              </w:rPr>
              <w:t>gabinete@juara.mt.gov.br</w:t>
            </w:r>
          </w:hyperlink>
          <w:r w:rsidRPr="00E61183">
            <w:rPr>
              <w:rFonts w:ascii="Arial" w:hAnsi="Arial" w:cs="Arial"/>
            </w:rPr>
            <w:t xml:space="preserve">    –   Ouvidoria: 66-3556.9404</w:t>
          </w:r>
        </w:p>
      </w:tc>
      <w:tc>
        <w:tcPr>
          <w:tcW w:w="708" w:type="dxa"/>
        </w:tcPr>
        <w:p w:rsidR="00BF3AF5" w:rsidRPr="00221153" w:rsidRDefault="00874C4A" w:rsidP="00221153">
          <w:pPr>
            <w:jc w:val="both"/>
            <w:rPr>
              <w:rFonts w:ascii="Cambria" w:hAnsi="Cambria" w:cs="Arial"/>
              <w:sz w:val="24"/>
              <w:szCs w:val="24"/>
            </w:rPr>
          </w:pPr>
          <w:r>
            <w:t xml:space="preserve">   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9712C">
            <w:rPr>
              <w:noProof/>
            </w:rPr>
            <w:t>1</w:t>
          </w:r>
          <w:r>
            <w:fldChar w:fldCharType="end"/>
          </w:r>
        </w:p>
      </w:tc>
    </w:tr>
  </w:tbl>
  <w:p w:rsidR="00BF3AF5" w:rsidRDefault="0029712C" w:rsidP="00E61183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ED8" w:rsidRDefault="00C07ED8">
      <w:pPr>
        <w:spacing w:after="0" w:line="240" w:lineRule="auto"/>
      </w:pPr>
      <w:r>
        <w:separator/>
      </w:r>
    </w:p>
  </w:footnote>
  <w:footnote w:type="continuationSeparator" w:id="0">
    <w:p w:rsidR="00C07ED8" w:rsidRDefault="00C07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BF3AF5" w:rsidRPr="00693F2C" w:rsidTr="009E3F10">
      <w:trPr>
        <w:trHeight w:val="841"/>
      </w:trPr>
      <w:tc>
        <w:tcPr>
          <w:tcW w:w="1844" w:type="dxa"/>
        </w:tcPr>
        <w:p w:rsidR="00BF3AF5" w:rsidRPr="00C02A05" w:rsidRDefault="00874C4A" w:rsidP="009E3F10">
          <w:pPr>
            <w:pStyle w:val="Cabealho"/>
            <w:rPr>
              <w:lang w:eastAsia="pt-BR"/>
            </w:rPr>
          </w:pPr>
          <w:r w:rsidRPr="009E3F10">
            <w:rPr>
              <w:rFonts w:ascii="Arial" w:hAnsi="Arial" w:cs="Arial"/>
              <w:noProof/>
              <w:color w:val="003300"/>
              <w:lang w:val="pt-BR" w:eastAsia="pt-BR"/>
            </w:rPr>
            <w:drawing>
              <wp:inline distT="0" distB="0" distL="0" distR="0" wp14:anchorId="7FC904CF" wp14:editId="5DCA73C8">
                <wp:extent cx="962025" cy="933450"/>
                <wp:effectExtent l="0" t="0" r="9525" b="0"/>
                <wp:docPr id="3" name="Imagem 3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:rsidR="00BF3AF5" w:rsidRPr="00B01E82" w:rsidRDefault="0029712C" w:rsidP="009E3F10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:rsidR="00BF3AF5" w:rsidRPr="00041775" w:rsidRDefault="0029712C" w:rsidP="009E3F10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:rsidR="00BF3AF5" w:rsidRPr="008D69FF" w:rsidRDefault="00874C4A" w:rsidP="009E3F10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:rsidR="00BF3AF5" w:rsidRPr="008D69FF" w:rsidRDefault="0029712C" w:rsidP="009E3F10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:rsidR="00BF3AF5" w:rsidRPr="008D69FF" w:rsidRDefault="0029712C" w:rsidP="009E3F10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:rsidR="00BF3AF5" w:rsidRPr="00342C7A" w:rsidRDefault="00874C4A" w:rsidP="009E3F10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:rsidR="00BF3AF5" w:rsidRPr="00C6460A" w:rsidRDefault="0029712C" w:rsidP="009E3F10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:rsidR="00BF3AF5" w:rsidRPr="00342C7A" w:rsidRDefault="00874C4A" w:rsidP="009E3F10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:rsidR="00BF3AF5" w:rsidRPr="007C7F02" w:rsidRDefault="0029712C">
    <w:pPr>
      <w:pStyle w:val="Cabealho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DA6"/>
    <w:rsid w:val="00207968"/>
    <w:rsid w:val="002339BE"/>
    <w:rsid w:val="0029712C"/>
    <w:rsid w:val="00300981"/>
    <w:rsid w:val="00310484"/>
    <w:rsid w:val="003D042B"/>
    <w:rsid w:val="0047306D"/>
    <w:rsid w:val="004B528F"/>
    <w:rsid w:val="005F232D"/>
    <w:rsid w:val="005F3E40"/>
    <w:rsid w:val="00663D67"/>
    <w:rsid w:val="008340BA"/>
    <w:rsid w:val="00874C4A"/>
    <w:rsid w:val="009D6CE9"/>
    <w:rsid w:val="00BD6ABB"/>
    <w:rsid w:val="00C07ED8"/>
    <w:rsid w:val="00C34EA1"/>
    <w:rsid w:val="00C83DA6"/>
    <w:rsid w:val="00F6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8F08"/>
  <w15:chartTrackingRefBased/>
  <w15:docId w15:val="{056BB3D6-49B8-4A0D-8BBF-80EFA9945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DA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C83DA6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C83DA6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Rodap">
    <w:name w:val="footer"/>
    <w:basedOn w:val="Normal"/>
    <w:link w:val="RodapChar"/>
    <w:uiPriority w:val="99"/>
    <w:rsid w:val="00C83DA6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C83DA6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yperlink">
    <w:name w:val="Hyperlink"/>
    <w:uiPriority w:val="99"/>
    <w:rsid w:val="00C83DA6"/>
    <w:rPr>
      <w:rFonts w:cs="Times New Roman"/>
      <w:color w:val="0000FF"/>
      <w:u w:val="single"/>
    </w:rPr>
  </w:style>
  <w:style w:type="paragraph" w:customStyle="1" w:styleId="western">
    <w:name w:val="western"/>
    <w:basedOn w:val="Normal"/>
    <w:rsid w:val="00C83DA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C83D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Default">
    <w:name w:val="Default"/>
    <w:rsid w:val="005F23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7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712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313</Words>
  <Characters>1693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Alzira</cp:lastModifiedBy>
  <cp:revision>5</cp:revision>
  <cp:lastPrinted>2024-07-09T21:11:00Z</cp:lastPrinted>
  <dcterms:created xsi:type="dcterms:W3CDTF">2024-07-05T14:18:00Z</dcterms:created>
  <dcterms:modified xsi:type="dcterms:W3CDTF">2024-07-09T21:11:00Z</dcterms:modified>
</cp:coreProperties>
</file>