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19A" w:rsidRDefault="001E419A" w:rsidP="001E419A">
      <w:pPr>
        <w:rPr>
          <w:rFonts w:ascii="Cambria" w:hAnsi="Cambria"/>
        </w:rPr>
      </w:pPr>
    </w:p>
    <w:p w:rsidR="001E419A" w:rsidRDefault="001E419A" w:rsidP="001E419A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Theme="minorEastAsia" w:hAnsi="Cambria"/>
          <w:b/>
          <w:lang w:eastAsia="pt-BR"/>
        </w:rPr>
      </w:pPr>
      <w:r>
        <w:rPr>
          <w:rFonts w:ascii="Cambria" w:eastAsiaTheme="minorEastAsia" w:hAnsi="Cambria"/>
          <w:b/>
          <w:lang w:eastAsia="pt-BR"/>
        </w:rPr>
        <w:t xml:space="preserve">                                                    PORTARIA Nº 426/2023</w:t>
      </w:r>
    </w:p>
    <w:p w:rsidR="001E419A" w:rsidRDefault="001E419A" w:rsidP="001E419A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Theme="minorEastAsia" w:hAnsi="Cambria"/>
          <w:b/>
          <w:lang w:eastAsia="pt-BR"/>
        </w:rPr>
      </w:pPr>
    </w:p>
    <w:p w:rsidR="001E419A" w:rsidRDefault="001E419A" w:rsidP="001E419A">
      <w:pPr>
        <w:shd w:val="clear" w:color="auto" w:fill="FFFFFF"/>
        <w:spacing w:after="0" w:line="240" w:lineRule="auto"/>
        <w:ind w:left="4248"/>
        <w:jc w:val="both"/>
        <w:rPr>
          <w:rFonts w:ascii="Cambria" w:eastAsia="Times New Roman" w:hAnsi="Cambria" w:cs="Arial"/>
          <w:b/>
          <w:color w:val="333333"/>
          <w:lang w:eastAsia="pt-BR"/>
        </w:rPr>
      </w:pPr>
      <w:r>
        <w:rPr>
          <w:rFonts w:ascii="Cambria" w:eastAsia="Times New Roman" w:hAnsi="Cambria" w:cs="Arial"/>
          <w:b/>
          <w:color w:val="333333"/>
          <w:lang w:eastAsia="pt-BR"/>
        </w:rPr>
        <w:t>READAPTAR SERVIDOR PUBLICO EM CARÁTER TEMPORÁRIO EM FUNÇÃO ADEQUADA A SUA CAPACIDADE LABORAL, NOS TERMOS DA LEI COMPLEMENTAR 028/2007.</w:t>
      </w:r>
    </w:p>
    <w:p w:rsidR="001E419A" w:rsidRDefault="001E419A" w:rsidP="001E419A">
      <w:pPr>
        <w:shd w:val="clear" w:color="auto" w:fill="FFFFFF"/>
        <w:spacing w:after="0" w:line="240" w:lineRule="auto"/>
        <w:ind w:left="4248"/>
        <w:jc w:val="both"/>
        <w:rPr>
          <w:rFonts w:ascii="Cambria" w:eastAsia="Times New Roman" w:hAnsi="Cambria" w:cs="Arial"/>
          <w:b/>
          <w:color w:val="333333"/>
          <w:lang w:eastAsia="pt-BR"/>
        </w:rPr>
      </w:pPr>
    </w:p>
    <w:p w:rsidR="001E419A" w:rsidRDefault="001E419A" w:rsidP="001E419A">
      <w:pPr>
        <w:shd w:val="clear" w:color="auto" w:fill="FFFFFF"/>
        <w:spacing w:after="0" w:line="240" w:lineRule="auto"/>
        <w:ind w:left="4248"/>
        <w:jc w:val="both"/>
        <w:rPr>
          <w:rFonts w:ascii="Cambria" w:eastAsia="Times New Roman" w:hAnsi="Cambria" w:cs="Arial"/>
          <w:b/>
          <w:color w:val="333333"/>
          <w:lang w:eastAsia="pt-BR"/>
        </w:rPr>
      </w:pPr>
    </w:p>
    <w:p w:rsidR="001E419A" w:rsidRDefault="001E419A" w:rsidP="001E419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    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1E419A" w:rsidRDefault="001E419A" w:rsidP="001E419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Considerando</w:t>
      </w:r>
      <w:r>
        <w:rPr>
          <w:rFonts w:ascii="Cambria" w:eastAsia="Times New Roman" w:hAnsi="Cambria" w:cs="Times New Roman"/>
          <w:lang w:eastAsia="pt-BR"/>
        </w:rPr>
        <w:t xml:space="preserve">, o Processo SAD sob o nº. 18.364 de 28 de </w:t>
      </w:r>
      <w:proofErr w:type="gramStart"/>
      <w:r>
        <w:rPr>
          <w:rFonts w:ascii="Cambria" w:eastAsia="Times New Roman" w:hAnsi="Cambria" w:cs="Times New Roman"/>
          <w:lang w:eastAsia="pt-BR"/>
        </w:rPr>
        <w:t>Novembro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de 2024.</w:t>
      </w:r>
    </w:p>
    <w:p w:rsidR="001E419A" w:rsidRDefault="001E419A" w:rsidP="001E419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EastAsia" w:hAnsi="Cambria"/>
          <w:lang w:eastAsia="pt-BR"/>
        </w:rPr>
      </w:pPr>
      <w:r>
        <w:rPr>
          <w:rFonts w:ascii="Cambria" w:eastAsiaTheme="minorEastAsia" w:hAnsi="Cambria"/>
          <w:b/>
          <w:lang w:eastAsia="pt-BR"/>
        </w:rPr>
        <w:t xml:space="preserve">              Considerando,</w:t>
      </w:r>
      <w:r>
        <w:rPr>
          <w:rFonts w:ascii="Cambria" w:eastAsiaTheme="minorEastAsia" w:hAnsi="Cambria"/>
          <w:lang w:eastAsia="pt-BR"/>
        </w:rPr>
        <w:t xml:space="preserve"> o Laudo Médico Pericial, orientando sobre a readaptação funcional por prazo determinado;</w:t>
      </w:r>
    </w:p>
    <w:p w:rsidR="001E419A" w:rsidRDefault="001E419A" w:rsidP="001E419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EastAsia" w:hAnsi="Cambria"/>
          <w:lang w:eastAsia="pt-BR"/>
        </w:rPr>
      </w:pPr>
      <w:r>
        <w:rPr>
          <w:rFonts w:ascii="Cambria" w:eastAsiaTheme="minorEastAsia" w:hAnsi="Cambria"/>
          <w:b/>
          <w:lang w:eastAsia="pt-BR"/>
        </w:rPr>
        <w:t xml:space="preserve">              Considerando, </w:t>
      </w:r>
      <w:r>
        <w:rPr>
          <w:rFonts w:ascii="Cambria" w:eastAsiaTheme="minorEastAsia" w:hAnsi="Cambria"/>
          <w:lang w:eastAsia="pt-BR"/>
        </w:rPr>
        <w:t xml:space="preserve">a compatibilidade das atribuições funcionais, bem como do grau de escolaridade do cargo </w:t>
      </w:r>
      <w:proofErr w:type="gramStart"/>
      <w:r>
        <w:rPr>
          <w:rFonts w:ascii="Cambria" w:eastAsiaTheme="minorEastAsia" w:hAnsi="Cambria"/>
          <w:lang w:eastAsia="pt-BR"/>
        </w:rPr>
        <w:t>de  Agente</w:t>
      </w:r>
      <w:proofErr w:type="gramEnd"/>
      <w:r>
        <w:rPr>
          <w:rFonts w:ascii="Cambria" w:eastAsiaTheme="minorEastAsia" w:hAnsi="Cambria"/>
          <w:lang w:eastAsia="pt-BR"/>
        </w:rPr>
        <w:t xml:space="preserve"> de Desenvolvimento Infantil;</w:t>
      </w:r>
    </w:p>
    <w:p w:rsidR="001E419A" w:rsidRDefault="001E419A" w:rsidP="001E419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EastAsia" w:hAnsi="Cambria"/>
          <w:lang w:eastAsia="pt-BR"/>
        </w:rPr>
      </w:pPr>
      <w:r>
        <w:rPr>
          <w:rFonts w:ascii="Cambria" w:eastAsiaTheme="minorEastAsia" w:hAnsi="Cambria"/>
          <w:lang w:eastAsia="pt-BR"/>
        </w:rPr>
        <w:t xml:space="preserve">              </w:t>
      </w:r>
      <w:r>
        <w:rPr>
          <w:rFonts w:ascii="Cambria" w:eastAsiaTheme="minorEastAsia" w:hAnsi="Cambria"/>
          <w:b/>
          <w:lang w:eastAsia="pt-BR"/>
        </w:rPr>
        <w:t>Considerando</w:t>
      </w:r>
      <w:r>
        <w:rPr>
          <w:rFonts w:ascii="Cambria" w:eastAsiaTheme="minorEastAsia" w:hAnsi="Cambria"/>
          <w:lang w:eastAsia="pt-BR"/>
        </w:rPr>
        <w:t>, Decreto nº 1.377/2019 de 05/07/2019, Art. 21.</w:t>
      </w:r>
    </w:p>
    <w:p w:rsidR="001E419A" w:rsidRDefault="001E419A" w:rsidP="001E419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EastAsia" w:hAnsi="Cambria"/>
          <w:lang w:eastAsia="pt-BR"/>
        </w:rPr>
      </w:pPr>
    </w:p>
    <w:p w:rsidR="001E419A" w:rsidRDefault="001E419A" w:rsidP="001E419A">
      <w:pPr>
        <w:shd w:val="clear" w:color="auto" w:fill="FFFFFF"/>
        <w:spacing w:after="0" w:line="240" w:lineRule="auto"/>
        <w:jc w:val="both"/>
        <w:rPr>
          <w:rFonts w:ascii="Cambria" w:eastAsiaTheme="minorEastAsia" w:hAnsi="Cambria" w:cs="Arial"/>
          <w:b/>
          <w:bCs/>
          <w:color w:val="333333"/>
          <w:lang w:eastAsia="pt-BR"/>
        </w:rPr>
      </w:pPr>
      <w:r>
        <w:rPr>
          <w:rFonts w:ascii="Cambria" w:eastAsiaTheme="minorEastAsia" w:hAnsi="Cambria" w:cs="Arial"/>
          <w:b/>
          <w:bCs/>
          <w:color w:val="333333"/>
          <w:lang w:eastAsia="pt-BR"/>
        </w:rPr>
        <w:t xml:space="preserve">               RESOLVE:</w:t>
      </w:r>
    </w:p>
    <w:p w:rsidR="001E419A" w:rsidRDefault="001E419A" w:rsidP="001E419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</w:p>
    <w:p w:rsidR="001E419A" w:rsidRDefault="001E419A" w:rsidP="001E419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>
        <w:rPr>
          <w:rFonts w:ascii="Cambria" w:eastAsia="Times New Roman" w:hAnsi="Cambria" w:cs="Arial"/>
          <w:b/>
          <w:color w:val="333333"/>
          <w:lang w:eastAsia="pt-BR"/>
        </w:rPr>
        <w:t xml:space="preserve">               Art. 1º</w:t>
      </w:r>
      <w:r>
        <w:rPr>
          <w:rFonts w:ascii="Cambria" w:eastAsia="Times New Roman" w:hAnsi="Cambria" w:cs="Arial"/>
          <w:color w:val="333333"/>
          <w:lang w:eastAsia="pt-BR"/>
        </w:rPr>
        <w:t xml:space="preserve">. Fica readaptada para efetuar as funções atribuídas de Auxiliar Administrativo junto ao PROCON Municipal, por ser mais compatível com suas capacidades laborais, a </w:t>
      </w:r>
      <w:proofErr w:type="gramStart"/>
      <w:r>
        <w:rPr>
          <w:rFonts w:ascii="Cambria" w:eastAsia="Times New Roman" w:hAnsi="Cambria" w:cs="Arial"/>
          <w:color w:val="333333"/>
          <w:lang w:eastAsia="pt-BR"/>
        </w:rPr>
        <w:t xml:space="preserve">servidora  </w:t>
      </w:r>
      <w:r>
        <w:rPr>
          <w:rFonts w:ascii="Cambria" w:eastAsia="Times New Roman" w:hAnsi="Cambria" w:cs="Arial"/>
          <w:b/>
          <w:color w:val="333333"/>
          <w:lang w:eastAsia="pt-BR"/>
        </w:rPr>
        <w:t>Vilma</w:t>
      </w:r>
      <w:proofErr w:type="gramEnd"/>
      <w:r>
        <w:rPr>
          <w:rFonts w:ascii="Cambria" w:eastAsia="Times New Roman" w:hAnsi="Cambria" w:cs="Arial"/>
          <w:b/>
          <w:color w:val="333333"/>
          <w:lang w:eastAsia="pt-BR"/>
        </w:rPr>
        <w:t xml:space="preserve"> </w:t>
      </w:r>
      <w:proofErr w:type="spellStart"/>
      <w:r>
        <w:rPr>
          <w:rFonts w:ascii="Cambria" w:eastAsia="Times New Roman" w:hAnsi="Cambria" w:cs="Arial"/>
          <w:b/>
          <w:color w:val="333333"/>
          <w:lang w:eastAsia="pt-BR"/>
        </w:rPr>
        <w:t>Morimâ</w:t>
      </w:r>
      <w:proofErr w:type="spellEnd"/>
      <w:r>
        <w:rPr>
          <w:rFonts w:ascii="Cambria" w:eastAsia="Times New Roman" w:hAnsi="Cambria" w:cs="Arial"/>
          <w:b/>
          <w:color w:val="333333"/>
          <w:lang w:eastAsia="pt-BR"/>
        </w:rPr>
        <w:t xml:space="preserve"> </w:t>
      </w:r>
      <w:proofErr w:type="spellStart"/>
      <w:r>
        <w:rPr>
          <w:rFonts w:ascii="Cambria" w:eastAsia="Times New Roman" w:hAnsi="Cambria" w:cs="Arial"/>
          <w:b/>
          <w:color w:val="333333"/>
          <w:lang w:eastAsia="pt-BR"/>
        </w:rPr>
        <w:t>Manomuttsa</w:t>
      </w:r>
      <w:proofErr w:type="spellEnd"/>
      <w:r>
        <w:rPr>
          <w:rFonts w:ascii="Cambria" w:eastAsia="Times New Roman" w:hAnsi="Cambria" w:cs="Arial"/>
          <w:b/>
          <w:color w:val="333333"/>
          <w:lang w:eastAsia="pt-BR"/>
        </w:rPr>
        <w:t xml:space="preserve"> -  Matrícula nº 5608</w:t>
      </w:r>
      <w:r>
        <w:rPr>
          <w:rFonts w:ascii="Cambria" w:eastAsia="Times New Roman" w:hAnsi="Cambria" w:cs="Arial"/>
          <w:color w:val="333333"/>
          <w:lang w:eastAsia="pt-BR"/>
        </w:rPr>
        <w:t>, nos termos do artigo 55, da Lei Complementar Municipal nº 028/2007.</w:t>
      </w:r>
    </w:p>
    <w:p w:rsidR="001E419A" w:rsidRDefault="001E419A" w:rsidP="001E419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>
        <w:rPr>
          <w:rFonts w:ascii="Cambria" w:eastAsia="Times New Roman" w:hAnsi="Cambria" w:cs="Arial"/>
          <w:b/>
          <w:color w:val="333333"/>
          <w:lang w:eastAsia="pt-BR"/>
        </w:rPr>
        <w:t xml:space="preserve">               Parágrafo único</w:t>
      </w:r>
      <w:r>
        <w:rPr>
          <w:rFonts w:ascii="Cambria" w:eastAsia="Times New Roman" w:hAnsi="Cambria" w:cs="Arial"/>
          <w:color w:val="333333"/>
          <w:lang w:eastAsia="pt-BR"/>
        </w:rPr>
        <w:t>. A readaptação nas funções se dá por motivo de incapacidade laboral temporária da servidora atribuída na Classificação Estatística Internacional de Doenças e Problemas Relacionados com a Saúde – CID-10.</w:t>
      </w:r>
    </w:p>
    <w:p w:rsidR="001E419A" w:rsidRDefault="001E419A" w:rsidP="001E419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>
        <w:rPr>
          <w:rFonts w:ascii="Cambria" w:eastAsia="Times New Roman" w:hAnsi="Cambria" w:cs="Arial"/>
          <w:b/>
          <w:color w:val="333333"/>
          <w:lang w:eastAsia="pt-BR"/>
        </w:rPr>
        <w:t xml:space="preserve">               Art. 2º.</w:t>
      </w:r>
      <w:r>
        <w:rPr>
          <w:rFonts w:ascii="Cambria" w:eastAsia="Times New Roman" w:hAnsi="Cambria" w:cs="Arial"/>
          <w:color w:val="333333"/>
          <w:lang w:eastAsia="pt-BR"/>
        </w:rPr>
        <w:t xml:space="preserve"> A readaptação de que trata o Art. 1º desta Portaria, será no período de </w:t>
      </w:r>
      <w:r>
        <w:rPr>
          <w:rFonts w:ascii="Cambria" w:eastAsia="Times New Roman" w:hAnsi="Cambria" w:cs="Arial"/>
          <w:b/>
          <w:color w:val="333333"/>
          <w:lang w:eastAsia="pt-BR"/>
        </w:rPr>
        <w:t>27/11/2024 a 25/05/2024</w:t>
      </w:r>
      <w:r>
        <w:rPr>
          <w:rFonts w:ascii="Cambria" w:eastAsia="Times New Roman" w:hAnsi="Cambria" w:cs="Arial"/>
          <w:color w:val="333333"/>
          <w:lang w:eastAsia="pt-BR"/>
        </w:rPr>
        <w:t>, podendo ser revisto em caso de requerimento da servidora.</w:t>
      </w:r>
    </w:p>
    <w:p w:rsidR="001E419A" w:rsidRDefault="001E419A" w:rsidP="001E419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>
        <w:rPr>
          <w:rFonts w:ascii="Cambria" w:eastAsia="Times New Roman" w:hAnsi="Cambria" w:cs="Arial"/>
          <w:b/>
          <w:color w:val="333333"/>
          <w:lang w:eastAsia="pt-BR"/>
        </w:rPr>
        <w:t xml:space="preserve">                Parágrafo único</w:t>
      </w:r>
      <w:r>
        <w:rPr>
          <w:rFonts w:ascii="Cambria" w:eastAsia="Times New Roman" w:hAnsi="Cambria" w:cs="Arial"/>
          <w:color w:val="333333"/>
          <w:lang w:eastAsia="pt-BR"/>
        </w:rPr>
        <w:t>. O retorno às funções originais dependerá de novo parecer emitido pela junta médica do órgão municipal competente.</w:t>
      </w:r>
    </w:p>
    <w:p w:rsidR="001E419A" w:rsidRDefault="001E419A" w:rsidP="001E419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>
        <w:rPr>
          <w:rFonts w:ascii="Cambria" w:eastAsia="Times New Roman" w:hAnsi="Cambria" w:cs="Arial"/>
          <w:b/>
          <w:color w:val="333333"/>
          <w:lang w:eastAsia="pt-BR"/>
        </w:rPr>
        <w:t xml:space="preserve">                 Art. 3º.</w:t>
      </w:r>
      <w:r>
        <w:rPr>
          <w:rFonts w:ascii="Cambria" w:eastAsia="Times New Roman" w:hAnsi="Cambria" w:cs="Arial"/>
          <w:color w:val="333333"/>
          <w:lang w:eastAsia="pt-BR"/>
        </w:rPr>
        <w:t xml:space="preserve"> A servidora deverá comprovar, sua incapacidade laboral enquanto perdurar a presente readaptação, através de atestado médico válido, sob condição de retorno às funções do cargo de origem.</w:t>
      </w:r>
    </w:p>
    <w:p w:rsidR="001E419A" w:rsidRDefault="001E419A" w:rsidP="001E419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Art. 4º</w:t>
      </w:r>
      <w:r>
        <w:rPr>
          <w:rFonts w:ascii="Cambria" w:eastAsia="Times New Roman" w:hAnsi="Cambria" w:cs="Times New Roman"/>
          <w:lang w:eastAsia="pt-BR"/>
        </w:rPr>
        <w:t xml:space="preserve"> Esta Portaria entra em vigor nesta data retroagindo efeitos a data de 27/11/2024.</w:t>
      </w:r>
    </w:p>
    <w:p w:rsidR="001E419A" w:rsidRDefault="001E419A" w:rsidP="001E419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1E419A" w:rsidRDefault="001E419A" w:rsidP="001E419A">
      <w:pPr>
        <w:spacing w:after="0" w:line="240" w:lineRule="auto"/>
        <w:jc w:val="both"/>
        <w:rPr>
          <w:rFonts w:ascii="Cambria" w:hAnsi="Cambria" w:cs="Arial"/>
        </w:rPr>
      </w:pPr>
    </w:p>
    <w:p w:rsidR="001E419A" w:rsidRDefault="001E419A" w:rsidP="001E419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1E419A" w:rsidRDefault="001E419A" w:rsidP="001E419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02 de </w:t>
      </w:r>
      <w:proofErr w:type="gramStart"/>
      <w:r>
        <w:rPr>
          <w:rFonts w:ascii="Cambria" w:hAnsi="Cambria" w:cs="Helvetica"/>
          <w:b/>
          <w:color w:val="333333"/>
        </w:rPr>
        <w:t>Dezembro</w:t>
      </w:r>
      <w:proofErr w:type="gramEnd"/>
      <w:r>
        <w:rPr>
          <w:rFonts w:ascii="Cambria" w:hAnsi="Cambria" w:cs="Helvetica"/>
          <w:b/>
          <w:color w:val="333333"/>
        </w:rPr>
        <w:t xml:space="preserve"> de 2024.</w:t>
      </w:r>
    </w:p>
    <w:p w:rsidR="001E419A" w:rsidRDefault="001E419A" w:rsidP="001E419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1E419A" w:rsidRDefault="001E419A" w:rsidP="001E419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1E419A" w:rsidTr="001E419A">
        <w:tc>
          <w:tcPr>
            <w:tcW w:w="4257" w:type="dxa"/>
            <w:hideMark/>
          </w:tcPr>
          <w:p w:rsidR="001E419A" w:rsidRDefault="001E419A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</w:t>
            </w:r>
            <w:proofErr w:type="spellStart"/>
            <w:r>
              <w:rPr>
                <w:rFonts w:ascii="Cambria" w:hAnsi="Cambria"/>
                <w:b/>
                <w:bCs/>
              </w:rPr>
              <w:t>ARAUJO</w:t>
            </w:r>
            <w:proofErr w:type="spellEnd"/>
            <w:r>
              <w:rPr>
                <w:rFonts w:ascii="Cambria" w:hAnsi="Cambria"/>
                <w:b/>
                <w:bCs/>
              </w:rPr>
              <w:t xml:space="preserve">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1E419A" w:rsidRDefault="001E419A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1E419A" w:rsidRDefault="001E419A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                             </w:t>
      </w:r>
    </w:p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  <w:bookmarkStart w:id="0" w:name="_GoBack"/>
      <w:bookmarkEnd w:id="0"/>
    </w:p>
    <w:sectPr w:rsidR="001E41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E21022"/>
    <w:multiLevelType w:val="hybridMultilevel"/>
    <w:tmpl w:val="25DCEA2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F8"/>
    <w:rsid w:val="00065632"/>
    <w:rsid w:val="001E419A"/>
    <w:rsid w:val="00387BF8"/>
    <w:rsid w:val="00C0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EEC77-F4C8-4DC8-9DAA-C7B8EF62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19A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E419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uiPriority w:val="39"/>
    <w:rsid w:val="001E419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5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2024-12-12T16:26:00Z</dcterms:created>
  <dcterms:modified xsi:type="dcterms:W3CDTF">2024-12-12T16:28:00Z</dcterms:modified>
</cp:coreProperties>
</file>